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44"/>
          <w:szCs w:val="44"/>
        </w:rPr>
      </w:pPr>
      <w:r>
        <w:rPr>
          <w:rFonts w:hint="eastAsia"/>
          <w:b/>
          <w:bCs/>
          <w:sz w:val="44"/>
          <w:szCs w:val="44"/>
        </w:rPr>
        <w:t>南昌职业大学采购项目邀请函</w:t>
      </w:r>
    </w:p>
    <w:p>
      <w:pPr>
        <w:spacing w:line="480" w:lineRule="exact"/>
        <w:textAlignment w:val="center"/>
        <w:rPr>
          <w:rFonts w:ascii="仿宋" w:hAnsi="仿宋" w:eastAsia="仿宋" w:cs="仿宋"/>
          <w:b/>
          <w:bCs/>
          <w:sz w:val="32"/>
          <w:szCs w:val="32"/>
        </w:rPr>
      </w:pPr>
    </w:p>
    <w:p>
      <w:pPr>
        <w:spacing w:line="480" w:lineRule="exact"/>
        <w:textAlignment w:val="center"/>
        <w:rPr>
          <w:rFonts w:ascii="仿宋" w:hAnsi="仿宋" w:eastAsia="仿宋" w:cs="仿宋"/>
          <w:sz w:val="32"/>
          <w:szCs w:val="32"/>
        </w:rPr>
      </w:pPr>
      <w:r>
        <w:rPr>
          <w:rFonts w:hint="eastAsia" w:ascii="仿宋" w:hAnsi="仿宋" w:eastAsia="仿宋" w:cs="仿宋"/>
          <w:b/>
          <w:bCs/>
          <w:sz w:val="32"/>
          <w:szCs w:val="32"/>
        </w:rPr>
        <w:t>各厂家、公司（乙方）：</w:t>
      </w:r>
    </w:p>
    <w:p>
      <w:pPr>
        <w:spacing w:line="480" w:lineRule="exact"/>
        <w:ind w:firstLine="640" w:firstLineChars="200"/>
        <w:textAlignment w:val="center"/>
        <w:rPr>
          <w:rFonts w:ascii="仿宋" w:hAnsi="仿宋" w:eastAsia="仿宋" w:cs="仿宋"/>
          <w:kern w:val="0"/>
          <w:sz w:val="32"/>
          <w:szCs w:val="32"/>
        </w:rPr>
      </w:pPr>
      <w:r>
        <w:rPr>
          <w:rFonts w:hint="eastAsia" w:ascii="仿宋" w:hAnsi="仿宋" w:eastAsia="仿宋" w:cs="仿宋"/>
          <w:kern w:val="0"/>
          <w:sz w:val="32"/>
          <w:szCs w:val="32"/>
        </w:rPr>
        <w:t>我们荣幸的邀请贵单位为我校项目投标单位，现将有关事项通知如下：</w:t>
      </w:r>
    </w:p>
    <w:p>
      <w:pPr>
        <w:spacing w:line="480" w:lineRule="exact"/>
        <w:ind w:firstLine="640" w:firstLineChars="200"/>
        <w:jc w:val="left"/>
        <w:textAlignment w:val="center"/>
        <w:rPr>
          <w:rFonts w:ascii="黑体" w:hAnsi="黑体" w:eastAsia="黑体" w:cs="黑体"/>
          <w:bCs/>
          <w:kern w:val="0"/>
          <w:sz w:val="32"/>
          <w:szCs w:val="32"/>
        </w:rPr>
      </w:pPr>
      <w:r>
        <w:rPr>
          <w:rFonts w:hint="eastAsia" w:ascii="黑体" w:hAnsi="黑体" w:eastAsia="黑体" w:cs="黑体"/>
          <w:bCs/>
          <w:kern w:val="0"/>
          <w:sz w:val="32"/>
          <w:szCs w:val="32"/>
        </w:rPr>
        <w:t>一、项目概况：</w:t>
      </w:r>
    </w:p>
    <w:p>
      <w:pPr>
        <w:spacing w:line="480" w:lineRule="exact"/>
        <w:ind w:firstLine="640" w:firstLineChars="200"/>
        <w:jc w:val="left"/>
        <w:textAlignment w:val="center"/>
        <w:rPr>
          <w:rFonts w:ascii="仿宋" w:hAnsi="仿宋" w:eastAsia="仿宋" w:cs="仿宋"/>
          <w:kern w:val="0"/>
          <w:sz w:val="32"/>
          <w:szCs w:val="32"/>
        </w:rPr>
      </w:pPr>
      <w:r>
        <w:rPr>
          <w:rFonts w:hint="eastAsia" w:ascii="仿宋" w:hAnsi="仿宋" w:eastAsia="仿宋" w:cs="仿宋"/>
          <w:kern w:val="0"/>
          <w:sz w:val="32"/>
          <w:szCs w:val="32"/>
        </w:rPr>
        <w:t>1.项目名称：四间机房改造</w:t>
      </w:r>
    </w:p>
    <w:p>
      <w:pPr>
        <w:spacing w:line="480" w:lineRule="exact"/>
        <w:ind w:firstLine="640" w:firstLineChars="200"/>
        <w:jc w:val="left"/>
        <w:textAlignment w:val="center"/>
        <w:rPr>
          <w:rFonts w:ascii="仿宋" w:hAnsi="仿宋" w:eastAsia="仿宋" w:cs="仿宋"/>
          <w:kern w:val="0"/>
          <w:sz w:val="32"/>
          <w:szCs w:val="32"/>
        </w:rPr>
      </w:pPr>
      <w:r>
        <w:rPr>
          <w:rFonts w:hint="eastAsia" w:ascii="仿宋" w:hAnsi="仿宋" w:eastAsia="仿宋" w:cs="仿宋"/>
          <w:kern w:val="0"/>
          <w:sz w:val="32"/>
          <w:szCs w:val="32"/>
        </w:rPr>
        <w:t>2.邀标单位（甲方）：南昌职业大学</w:t>
      </w:r>
    </w:p>
    <w:p>
      <w:pPr>
        <w:spacing w:line="480" w:lineRule="exact"/>
        <w:ind w:firstLine="640" w:firstLineChars="200"/>
        <w:jc w:val="left"/>
        <w:textAlignment w:val="center"/>
        <w:rPr>
          <w:rFonts w:ascii="仿宋" w:hAnsi="仿宋" w:eastAsia="仿宋" w:cs="仿宋"/>
          <w:kern w:val="0"/>
          <w:sz w:val="32"/>
          <w:szCs w:val="32"/>
        </w:rPr>
      </w:pPr>
      <w:r>
        <w:rPr>
          <w:rFonts w:hint="eastAsia" w:ascii="仿宋" w:hAnsi="仿宋" w:eastAsia="仿宋" w:cs="仿宋"/>
          <w:kern w:val="0"/>
          <w:sz w:val="32"/>
          <w:szCs w:val="32"/>
        </w:rPr>
        <w:t>3.项目地点：南昌职业大学校内</w:t>
      </w:r>
    </w:p>
    <w:p>
      <w:pPr>
        <w:spacing w:line="480" w:lineRule="exact"/>
        <w:ind w:firstLine="640" w:firstLineChars="200"/>
        <w:jc w:val="left"/>
        <w:textAlignment w:val="center"/>
        <w:rPr>
          <w:rFonts w:ascii="黑体" w:hAnsi="黑体" w:eastAsia="黑体" w:cs="黑体"/>
          <w:bCs/>
          <w:kern w:val="0"/>
          <w:sz w:val="32"/>
          <w:szCs w:val="32"/>
        </w:rPr>
      </w:pPr>
      <w:r>
        <w:rPr>
          <w:rFonts w:hint="eastAsia" w:ascii="黑体" w:hAnsi="黑体" w:eastAsia="黑体" w:cs="黑体"/>
          <w:bCs/>
          <w:kern w:val="0"/>
          <w:sz w:val="32"/>
          <w:szCs w:val="32"/>
        </w:rPr>
        <w:t>二、标书内容：</w:t>
      </w:r>
    </w:p>
    <w:p>
      <w:pPr>
        <w:spacing w:line="480" w:lineRule="exact"/>
        <w:ind w:firstLine="640" w:firstLineChars="200"/>
        <w:jc w:val="left"/>
        <w:textAlignment w:val="center"/>
        <w:rPr>
          <w:rFonts w:ascii="仿宋" w:hAnsi="仿宋" w:eastAsia="仿宋" w:cs="仿宋"/>
          <w:kern w:val="0"/>
          <w:sz w:val="32"/>
          <w:szCs w:val="32"/>
        </w:rPr>
      </w:pPr>
      <w:r>
        <w:rPr>
          <w:rFonts w:hint="eastAsia" w:ascii="仿宋" w:hAnsi="仿宋" w:eastAsia="仿宋" w:cs="仿宋"/>
          <w:kern w:val="0"/>
          <w:sz w:val="32"/>
          <w:szCs w:val="32"/>
        </w:rPr>
        <w:t>1.公司资格文件（营业执照、税务登记证及纳税证明、法定代表人授权委托书、企业介绍等）。</w:t>
      </w:r>
    </w:p>
    <w:p>
      <w:pPr>
        <w:spacing w:line="480" w:lineRule="exact"/>
        <w:ind w:firstLine="640" w:firstLineChars="200"/>
        <w:jc w:val="left"/>
        <w:textAlignment w:val="center"/>
        <w:rPr>
          <w:rFonts w:ascii="仿宋" w:hAnsi="仿宋" w:eastAsia="仿宋" w:cs="仿宋"/>
          <w:kern w:val="0"/>
          <w:sz w:val="32"/>
          <w:szCs w:val="32"/>
        </w:rPr>
      </w:pPr>
      <w:r>
        <w:rPr>
          <w:rFonts w:hint="eastAsia" w:ascii="仿宋" w:hAnsi="仿宋" w:eastAsia="仿宋" w:cs="仿宋"/>
          <w:kern w:val="0"/>
          <w:sz w:val="32"/>
          <w:szCs w:val="32"/>
        </w:rPr>
        <w:t>2.单位诚信投标报价承诺书及售后服务承诺书。</w:t>
      </w:r>
    </w:p>
    <w:p>
      <w:pPr>
        <w:spacing w:line="480" w:lineRule="exact"/>
        <w:ind w:firstLine="640" w:firstLineChars="200"/>
        <w:jc w:val="left"/>
        <w:textAlignment w:val="center"/>
        <w:rPr>
          <w:rFonts w:ascii="仿宋" w:hAnsi="仿宋" w:eastAsia="仿宋" w:cs="仿宋"/>
          <w:kern w:val="0"/>
          <w:sz w:val="32"/>
          <w:szCs w:val="32"/>
        </w:rPr>
      </w:pPr>
      <w:r>
        <w:rPr>
          <w:rFonts w:hint="eastAsia" w:ascii="仿宋" w:hAnsi="仿宋" w:eastAsia="仿宋" w:cs="仿宋"/>
          <w:kern w:val="0"/>
          <w:sz w:val="32"/>
          <w:szCs w:val="32"/>
        </w:rPr>
        <w:t>3.成功案例证明材料。</w:t>
      </w:r>
    </w:p>
    <w:p>
      <w:pPr>
        <w:spacing w:line="480" w:lineRule="exact"/>
        <w:ind w:firstLine="640" w:firstLineChars="200"/>
        <w:jc w:val="left"/>
        <w:textAlignment w:val="center"/>
        <w:rPr>
          <w:rFonts w:ascii="仿宋" w:hAnsi="仿宋" w:eastAsia="仿宋" w:cs="仿宋"/>
          <w:kern w:val="0"/>
          <w:sz w:val="32"/>
          <w:szCs w:val="32"/>
        </w:rPr>
      </w:pPr>
      <w:r>
        <w:rPr>
          <w:rFonts w:hint="eastAsia" w:ascii="仿宋" w:hAnsi="仿宋" w:eastAsia="仿宋" w:cs="仿宋"/>
          <w:kern w:val="0"/>
          <w:sz w:val="32"/>
          <w:szCs w:val="32"/>
        </w:rPr>
        <w:t>4.</w:t>
      </w:r>
      <w:r>
        <w:rPr>
          <w:rFonts w:hint="eastAsia"/>
        </w:rPr>
        <w:t xml:space="preserve"> </w:t>
      </w:r>
      <w:r>
        <w:rPr>
          <w:rFonts w:hint="eastAsia" w:ascii="仿宋" w:hAnsi="仿宋" w:eastAsia="仿宋" w:cs="仿宋"/>
          <w:kern w:val="0"/>
          <w:sz w:val="32"/>
          <w:szCs w:val="32"/>
        </w:rPr>
        <w:t>投标单位对投标货物及服务报价，应报出最具有竞争力的价格，按附件建设清单分项报价（至少包括：设备名称，示例图片，品牌，型号规格，数量，单位，单价，金额，厂家，招标参数,应标参数，正负偏离）,设备品牌为行业知名品牌,</w:t>
      </w:r>
      <w:r>
        <w:rPr>
          <w:rFonts w:hint="eastAsia"/>
        </w:rPr>
        <w:t xml:space="preserve"> </w:t>
      </w:r>
      <w:r>
        <w:rPr>
          <w:rFonts w:hint="eastAsia" w:ascii="仿宋" w:hAnsi="仿宋" w:eastAsia="仿宋" w:cs="仿宋"/>
          <w:kern w:val="0"/>
          <w:sz w:val="32"/>
          <w:szCs w:val="32"/>
        </w:rPr>
        <w:t>若涉及隐形费用请单列报价并做出说明。</w:t>
      </w:r>
    </w:p>
    <w:p>
      <w:pPr>
        <w:spacing w:line="480" w:lineRule="exact"/>
        <w:ind w:firstLine="640" w:firstLineChars="200"/>
        <w:jc w:val="left"/>
        <w:textAlignment w:val="center"/>
        <w:rPr>
          <w:rFonts w:ascii="仿宋" w:hAnsi="仿宋" w:eastAsia="仿宋" w:cs="仿宋"/>
          <w:b/>
          <w:bCs/>
          <w:color w:val="FF0000"/>
          <w:kern w:val="0"/>
          <w:sz w:val="32"/>
          <w:szCs w:val="32"/>
        </w:rPr>
      </w:pPr>
      <w:r>
        <w:rPr>
          <w:rFonts w:ascii="仿宋" w:hAnsi="仿宋" w:eastAsia="仿宋" w:cs="仿宋"/>
          <w:color w:val="000000" w:themeColor="text1"/>
          <w:kern w:val="0"/>
          <w:sz w:val="32"/>
          <w:szCs w:val="32"/>
          <w14:textFill>
            <w14:solidFill>
              <w14:schemeClr w14:val="tx1"/>
            </w14:solidFill>
          </w14:textFill>
        </w:rPr>
        <w:t>5</w:t>
      </w:r>
      <w:r>
        <w:rPr>
          <w:rFonts w:hint="eastAsia" w:ascii="仿宋" w:hAnsi="仿宋" w:eastAsia="仿宋" w:cs="仿宋"/>
          <w:color w:val="000000" w:themeColor="text1"/>
          <w:kern w:val="0"/>
          <w:sz w:val="32"/>
          <w:szCs w:val="32"/>
          <w14:textFill>
            <w14:solidFill>
              <w14:schemeClr w14:val="tx1"/>
            </w14:solidFill>
          </w14:textFill>
        </w:rPr>
        <w:t>.标书中注明到货时间、安装调试</w:t>
      </w:r>
      <w:r>
        <w:rPr>
          <w:rFonts w:hint="eastAsia" w:ascii="仿宋" w:hAnsi="仿宋" w:eastAsia="仿宋" w:cs="仿宋"/>
          <w:color w:val="000000" w:themeColor="text1"/>
          <w:kern w:val="0"/>
          <w:sz w:val="32"/>
          <w:szCs w:val="32"/>
          <w:lang w:eastAsia="zh-CN"/>
          <w14:textFill>
            <w14:solidFill>
              <w14:schemeClr w14:val="tx1"/>
            </w14:solidFill>
          </w14:textFill>
        </w:rPr>
        <w:t>完工</w:t>
      </w:r>
      <w:r>
        <w:rPr>
          <w:rFonts w:hint="eastAsia" w:ascii="仿宋" w:hAnsi="仿宋" w:eastAsia="仿宋" w:cs="仿宋"/>
          <w:color w:val="000000" w:themeColor="text1"/>
          <w:kern w:val="0"/>
          <w:sz w:val="32"/>
          <w:szCs w:val="32"/>
          <w14:textFill>
            <w14:solidFill>
              <w14:schemeClr w14:val="tx1"/>
            </w14:solidFill>
          </w14:textFill>
        </w:rPr>
        <w:t>时间及税点</w:t>
      </w:r>
    </w:p>
    <w:p>
      <w:pPr>
        <w:spacing w:line="480" w:lineRule="exact"/>
        <w:ind w:firstLine="640" w:firstLineChars="200"/>
        <w:jc w:val="left"/>
        <w:textAlignment w:val="center"/>
        <w:rPr>
          <w:rFonts w:ascii="仿宋" w:hAnsi="仿宋" w:eastAsia="仿宋" w:cs="仿宋"/>
          <w:kern w:val="0"/>
          <w:sz w:val="32"/>
          <w:szCs w:val="32"/>
        </w:rPr>
      </w:pPr>
      <w:r>
        <w:rPr>
          <w:rFonts w:hint="eastAsia" w:ascii="仿宋" w:hAnsi="仿宋" w:eastAsia="仿宋" w:cs="仿宋"/>
          <w:kern w:val="0"/>
          <w:sz w:val="32"/>
          <w:szCs w:val="32"/>
        </w:rPr>
        <w:t>以上材料均需盖单位公章。</w:t>
      </w:r>
    </w:p>
    <w:p>
      <w:pPr>
        <w:spacing w:line="480" w:lineRule="exact"/>
        <w:ind w:firstLine="640" w:firstLineChars="200"/>
        <w:jc w:val="left"/>
        <w:textAlignment w:val="center"/>
        <w:rPr>
          <w:rFonts w:ascii="黑体" w:hAnsi="黑体" w:eastAsia="黑体" w:cs="黑体"/>
          <w:bCs/>
          <w:kern w:val="0"/>
          <w:sz w:val="32"/>
          <w:szCs w:val="32"/>
        </w:rPr>
      </w:pPr>
      <w:r>
        <w:rPr>
          <w:rFonts w:hint="eastAsia" w:ascii="黑体" w:hAnsi="黑体" w:eastAsia="黑体" w:cs="黑体"/>
          <w:bCs/>
          <w:kern w:val="0"/>
          <w:sz w:val="32"/>
          <w:szCs w:val="32"/>
        </w:rPr>
        <w:t>三、标书要求：</w:t>
      </w:r>
    </w:p>
    <w:p>
      <w:pPr>
        <w:spacing w:line="480" w:lineRule="exact"/>
        <w:ind w:firstLine="640" w:firstLineChars="200"/>
        <w:jc w:val="left"/>
        <w:textAlignment w:val="center"/>
        <w:rPr>
          <w:rFonts w:ascii="仿宋" w:hAnsi="仿宋" w:eastAsia="仿宋" w:cs="仿宋"/>
          <w:kern w:val="0"/>
          <w:sz w:val="32"/>
          <w:szCs w:val="32"/>
        </w:rPr>
      </w:pPr>
      <w:r>
        <w:rPr>
          <w:rFonts w:hint="eastAsia" w:ascii="仿宋" w:hAnsi="仿宋" w:eastAsia="仿宋" w:cs="仿宋"/>
          <w:kern w:val="0"/>
          <w:sz w:val="32"/>
          <w:szCs w:val="32"/>
        </w:rPr>
        <w:t>1.标书用A4纸正反打印，胶装成书，分项报价用A4纸正反打印，均一式伍份（正本壹份、副本肆份）。</w:t>
      </w:r>
    </w:p>
    <w:p>
      <w:pPr>
        <w:spacing w:line="480" w:lineRule="exact"/>
        <w:ind w:firstLine="640" w:firstLineChars="200"/>
        <w:jc w:val="left"/>
        <w:textAlignment w:val="center"/>
        <w:rPr>
          <w:rFonts w:ascii="仿宋" w:hAnsi="仿宋" w:eastAsia="仿宋" w:cs="仿宋"/>
          <w:kern w:val="0"/>
          <w:sz w:val="32"/>
          <w:szCs w:val="32"/>
        </w:rPr>
      </w:pPr>
      <w:r>
        <w:rPr>
          <w:rFonts w:hint="eastAsia" w:ascii="仿宋" w:hAnsi="仿宋" w:eastAsia="仿宋" w:cs="仿宋"/>
          <w:kern w:val="0"/>
          <w:sz w:val="32"/>
          <w:szCs w:val="32"/>
        </w:rPr>
        <w:t>2.准备资料原件接受资质审核。</w:t>
      </w:r>
    </w:p>
    <w:p>
      <w:pPr>
        <w:spacing w:line="480" w:lineRule="exact"/>
        <w:ind w:firstLine="640" w:firstLineChars="200"/>
        <w:jc w:val="left"/>
        <w:textAlignment w:val="center"/>
        <w:rPr>
          <w:rFonts w:ascii="仿宋" w:hAnsi="仿宋" w:eastAsia="仿宋" w:cs="仿宋"/>
          <w:kern w:val="0"/>
          <w:sz w:val="32"/>
          <w:szCs w:val="32"/>
        </w:rPr>
      </w:pPr>
      <w:r>
        <w:rPr>
          <w:rFonts w:hint="eastAsia" w:ascii="仿宋" w:hAnsi="仿宋" w:eastAsia="仿宋" w:cs="仿宋"/>
          <w:kern w:val="0"/>
          <w:sz w:val="32"/>
          <w:szCs w:val="32"/>
        </w:rPr>
        <w:t>3.标书密封、签字并加盖齐缝章，内容不许涂改或行间插字。</w:t>
      </w:r>
    </w:p>
    <w:p>
      <w:pPr>
        <w:spacing w:line="480" w:lineRule="exact"/>
        <w:ind w:firstLine="640" w:firstLineChars="200"/>
        <w:jc w:val="left"/>
        <w:textAlignment w:val="center"/>
        <w:rPr>
          <w:rFonts w:ascii="仿宋" w:hAnsi="仿宋" w:eastAsia="仿宋" w:cs="仿宋"/>
          <w:b/>
          <w:bCs/>
          <w:kern w:val="0"/>
          <w:sz w:val="32"/>
          <w:szCs w:val="32"/>
        </w:rPr>
      </w:pPr>
      <w:r>
        <w:rPr>
          <w:rFonts w:hint="eastAsia" w:ascii="仿宋" w:hAnsi="仿宋" w:eastAsia="仿宋" w:cs="仿宋"/>
          <w:kern w:val="0"/>
          <w:sz w:val="32"/>
          <w:szCs w:val="32"/>
        </w:rPr>
        <w:t xml:space="preserve">4.请于2023年 6 月 </w:t>
      </w:r>
      <w:r>
        <w:rPr>
          <w:rFonts w:hint="eastAsia" w:ascii="仿宋" w:hAnsi="仿宋" w:eastAsia="仿宋" w:cs="仿宋"/>
          <w:kern w:val="0"/>
          <w:sz w:val="32"/>
          <w:szCs w:val="32"/>
          <w:lang w:val="en-US" w:eastAsia="zh-CN"/>
        </w:rPr>
        <w:t>11</w:t>
      </w:r>
      <w:r>
        <w:rPr>
          <w:rFonts w:hint="eastAsia" w:ascii="仿宋" w:hAnsi="仿宋" w:eastAsia="仿宋" w:cs="仿宋"/>
          <w:kern w:val="0"/>
          <w:sz w:val="32"/>
          <w:szCs w:val="32"/>
        </w:rPr>
        <w:t xml:space="preserve"> 日</w:t>
      </w:r>
      <w:r>
        <w:rPr>
          <w:rFonts w:hint="eastAsia" w:ascii="仿宋" w:hAnsi="仿宋" w:eastAsia="仿宋" w:cs="仿宋"/>
          <w:kern w:val="0"/>
          <w:sz w:val="32"/>
          <w:szCs w:val="32"/>
          <w:lang w:eastAsia="zh-CN"/>
        </w:rPr>
        <w:t>下午</w:t>
      </w:r>
      <w:r>
        <w:rPr>
          <w:rFonts w:hint="eastAsia" w:ascii="仿宋" w:hAnsi="仿宋" w:eastAsia="仿宋" w:cs="仿宋"/>
          <w:kern w:val="0"/>
          <w:sz w:val="32"/>
          <w:szCs w:val="32"/>
          <w:lang w:val="en-US" w:eastAsia="zh-CN"/>
        </w:rPr>
        <w:t>4点</w:t>
      </w:r>
      <w:r>
        <w:rPr>
          <w:rFonts w:hint="eastAsia" w:ascii="仿宋" w:hAnsi="仿宋" w:eastAsia="仿宋" w:cs="仿宋"/>
          <w:kern w:val="0"/>
          <w:sz w:val="32"/>
          <w:szCs w:val="32"/>
        </w:rPr>
        <w:t>前</w:t>
      </w:r>
      <w:r>
        <w:rPr>
          <w:rFonts w:hint="eastAsia" w:ascii="仿宋" w:hAnsi="仿宋" w:eastAsia="仿宋" w:cs="仿宋"/>
          <w:kern w:val="0"/>
          <w:sz w:val="32"/>
          <w:szCs w:val="32"/>
          <w:lang w:eastAsia="zh-CN"/>
        </w:rPr>
        <w:t>（以快递寄出时间为准）</w:t>
      </w:r>
      <w:r>
        <w:rPr>
          <w:rFonts w:hint="eastAsia" w:ascii="仿宋" w:hAnsi="仿宋" w:eastAsia="仿宋" w:cs="仿宋"/>
          <w:kern w:val="0"/>
          <w:sz w:val="32"/>
          <w:szCs w:val="32"/>
        </w:rPr>
        <w:t>将标书邮寄至：</w:t>
      </w:r>
      <w:r>
        <w:rPr>
          <w:rFonts w:hint="eastAsia" w:ascii="仿宋" w:hAnsi="仿宋" w:eastAsia="仿宋" w:cs="仿宋"/>
          <w:b/>
          <w:bCs/>
          <w:kern w:val="0"/>
          <w:sz w:val="32"/>
          <w:szCs w:val="32"/>
        </w:rPr>
        <w:t>江西省南昌市安义县前进东路8号南昌职业大学，收件人及电话：</w:t>
      </w:r>
      <w:r>
        <w:rPr>
          <w:rFonts w:hint="eastAsia" w:ascii="仿宋" w:hAnsi="仿宋" w:eastAsia="仿宋" w:cs="仿宋"/>
          <w:b/>
          <w:bCs/>
          <w:kern w:val="0"/>
          <w:sz w:val="32"/>
          <w:szCs w:val="32"/>
          <w:lang w:val="en-US" w:eastAsia="zh-CN"/>
        </w:rPr>
        <w:t>洪</w:t>
      </w:r>
      <w:r>
        <w:rPr>
          <w:rFonts w:hint="eastAsia" w:ascii="仿宋" w:hAnsi="仿宋" w:eastAsia="仿宋" w:cs="仿宋"/>
          <w:b/>
          <w:bCs/>
          <w:kern w:val="0"/>
          <w:sz w:val="32"/>
          <w:szCs w:val="32"/>
        </w:rPr>
        <w:t>老师:</w:t>
      </w:r>
      <w:r>
        <w:rPr>
          <w:rFonts w:hint="eastAsia" w:ascii="仿宋" w:hAnsi="仿宋" w:eastAsia="仿宋" w:cs="仿宋"/>
          <w:b/>
          <w:bCs/>
          <w:kern w:val="0"/>
          <w:sz w:val="32"/>
          <w:szCs w:val="32"/>
          <w:lang w:val="en-US" w:eastAsia="zh-CN"/>
        </w:rPr>
        <w:t>13087370719</w:t>
      </w:r>
      <w:r>
        <w:rPr>
          <w:rFonts w:hint="eastAsia" w:ascii="仿宋" w:hAnsi="仿宋" w:eastAsia="仿宋" w:cs="仿宋"/>
          <w:b/>
          <w:bCs/>
          <w:kern w:val="0"/>
          <w:sz w:val="32"/>
          <w:szCs w:val="32"/>
        </w:rPr>
        <w:t>。</w:t>
      </w:r>
    </w:p>
    <w:p>
      <w:pPr>
        <w:spacing w:line="480" w:lineRule="exact"/>
        <w:ind w:firstLine="640" w:firstLineChars="200"/>
        <w:textAlignment w:val="center"/>
        <w:rPr>
          <w:rFonts w:ascii="仿宋" w:hAnsi="仿宋" w:eastAsia="仿宋" w:cs="仿宋"/>
          <w:b/>
          <w:bCs/>
          <w:sz w:val="32"/>
          <w:szCs w:val="32"/>
        </w:rPr>
      </w:pPr>
      <w:r>
        <w:rPr>
          <w:rFonts w:hint="eastAsia" w:ascii="黑体" w:hAnsi="黑体" w:eastAsia="黑体" w:cs="黑体"/>
          <w:bCs/>
          <w:kern w:val="0"/>
          <w:sz w:val="32"/>
          <w:szCs w:val="32"/>
        </w:rPr>
        <w:t>四、产品质量：</w:t>
      </w:r>
    </w:p>
    <w:p>
      <w:pPr>
        <w:spacing w:line="480" w:lineRule="exact"/>
        <w:ind w:firstLine="640" w:firstLineChars="200"/>
        <w:textAlignment w:val="center"/>
        <w:rPr>
          <w:rFonts w:ascii="仿宋" w:hAnsi="仿宋" w:eastAsia="仿宋" w:cs="仿宋"/>
          <w:sz w:val="32"/>
          <w:szCs w:val="32"/>
        </w:rPr>
      </w:pPr>
      <w:r>
        <w:rPr>
          <w:rFonts w:hint="eastAsia" w:ascii="仿宋" w:hAnsi="仿宋" w:eastAsia="仿宋" w:cs="仿宋"/>
          <w:sz w:val="32"/>
          <w:szCs w:val="32"/>
        </w:rPr>
        <w:t>若中标，乙方所有产品必须按要求质量出货，保证原装正品，不得以次充好，不得转包，如有发现，甲方有权拒付项目所有款项，保留追究违约责任的权力。</w:t>
      </w:r>
    </w:p>
    <w:p>
      <w:pPr>
        <w:spacing w:line="480" w:lineRule="exact"/>
        <w:ind w:firstLine="640" w:firstLineChars="200"/>
        <w:textAlignment w:val="center"/>
        <w:rPr>
          <w:rFonts w:ascii="仿宋" w:hAnsi="仿宋" w:eastAsia="仿宋" w:cs="仿宋"/>
          <w:b/>
          <w:bCs/>
          <w:sz w:val="32"/>
          <w:szCs w:val="32"/>
        </w:rPr>
      </w:pPr>
      <w:r>
        <w:rPr>
          <w:rFonts w:hint="eastAsia" w:ascii="黑体" w:hAnsi="黑体" w:eastAsia="黑体" w:cs="黑体"/>
          <w:bCs/>
          <w:kern w:val="0"/>
          <w:sz w:val="32"/>
          <w:szCs w:val="32"/>
        </w:rPr>
        <w:t>五、付款方式及发票要求：</w:t>
      </w:r>
    </w:p>
    <w:p>
      <w:pPr>
        <w:spacing w:line="480" w:lineRule="exact"/>
        <w:ind w:firstLine="640" w:firstLineChars="200"/>
        <w:jc w:val="left"/>
        <w:textAlignment w:val="center"/>
        <w:rPr>
          <w:rFonts w:ascii="仿宋" w:hAnsi="仿宋" w:eastAsia="仿宋" w:cs="仿宋"/>
          <w:sz w:val="32"/>
          <w:szCs w:val="32"/>
        </w:rPr>
      </w:pPr>
      <w:r>
        <w:rPr>
          <w:rFonts w:hint="eastAsia" w:ascii="仿宋" w:hAnsi="仿宋" w:eastAsia="仿宋" w:cs="仿宋"/>
          <w:sz w:val="32"/>
          <w:szCs w:val="32"/>
        </w:rPr>
        <w:t>正常使用情况下自验收合格后免费质保不低于叁年。2小时内服务响应，24小时内上门服务。合同签订后乙方须支付合同总价5%的履约保证金至甲方指定帐户，验收合格完成后履约保证金自动转为质量保证金。质量保证金自学校验收合格后第一年无质量问题按1%无息返还乙方，第二年无质量问题按2%无息返还乙方，第三年无质量问题按2%无息返还乙方。</w:t>
      </w:r>
    </w:p>
    <w:p>
      <w:pPr>
        <w:spacing w:line="480" w:lineRule="exact"/>
        <w:ind w:firstLine="640" w:firstLineChars="200"/>
        <w:jc w:val="left"/>
        <w:textAlignment w:val="center"/>
        <w:rPr>
          <w:rFonts w:ascii="仿宋" w:hAnsi="仿宋" w:eastAsia="仿宋" w:cs="仿宋"/>
          <w:sz w:val="32"/>
          <w:szCs w:val="32"/>
        </w:rPr>
      </w:pPr>
      <w:r>
        <w:rPr>
          <w:rFonts w:hint="eastAsia" w:ascii="仿宋" w:hAnsi="仿宋" w:eastAsia="仿宋" w:cs="仿宋"/>
          <w:sz w:val="32"/>
          <w:szCs w:val="32"/>
        </w:rPr>
        <w:t>自学校验收合格后，按合同要求开具项目全额增值税专用发票，甲方收到发票后30日内，付合同总额的100%。</w:t>
      </w:r>
    </w:p>
    <w:p>
      <w:pPr>
        <w:spacing w:line="480" w:lineRule="exact"/>
        <w:ind w:firstLine="640" w:firstLineChars="200"/>
        <w:jc w:val="left"/>
        <w:textAlignment w:val="center"/>
        <w:rPr>
          <w:rFonts w:ascii="黑体" w:hAnsi="黑体" w:eastAsia="黑体" w:cs="黑体"/>
          <w:bCs/>
          <w:kern w:val="0"/>
          <w:sz w:val="32"/>
          <w:szCs w:val="32"/>
        </w:rPr>
      </w:pPr>
      <w:r>
        <w:rPr>
          <w:rFonts w:hint="eastAsia" w:ascii="黑体" w:hAnsi="黑体" w:eastAsia="黑体" w:cs="黑体"/>
          <w:bCs/>
          <w:kern w:val="0"/>
          <w:sz w:val="32"/>
          <w:szCs w:val="32"/>
        </w:rPr>
        <w:t>六、廉洁协议：</w:t>
      </w:r>
    </w:p>
    <w:p>
      <w:pPr>
        <w:spacing w:line="480" w:lineRule="exact"/>
        <w:ind w:firstLine="640" w:firstLineChars="200"/>
        <w:jc w:val="left"/>
        <w:textAlignment w:val="center"/>
        <w:rPr>
          <w:rFonts w:ascii="仿宋" w:hAnsi="仿宋" w:eastAsia="仿宋" w:cs="仿宋"/>
          <w:b/>
          <w:kern w:val="0"/>
          <w:sz w:val="32"/>
          <w:szCs w:val="32"/>
        </w:rPr>
      </w:pPr>
      <w:r>
        <w:rPr>
          <w:rFonts w:hint="eastAsia" w:ascii="仿宋" w:hAnsi="仿宋" w:eastAsia="仿宋" w:cs="仿宋"/>
          <w:sz w:val="32"/>
          <w:szCs w:val="32"/>
        </w:rPr>
        <w:t>乙方不得主动给予、甲方不得主动索要或接受乙方及其相关单位和人员提供的回扣、礼金、有价证券、支付凭证、贵重物品等，不得围标、串标，严格遵守商业道德和市场规则，共同营造公平公正的商务交易环境。一经发现，所有货物将免费赠送给甲方使用，全部货款不予支付。</w:t>
      </w:r>
    </w:p>
    <w:p>
      <w:pPr>
        <w:spacing w:line="480" w:lineRule="exact"/>
        <w:ind w:firstLine="640" w:firstLineChars="200"/>
        <w:jc w:val="left"/>
        <w:textAlignment w:val="center"/>
        <w:rPr>
          <w:rFonts w:ascii="黑体" w:hAnsi="黑体" w:eastAsia="黑体" w:cs="黑体"/>
          <w:bCs/>
          <w:kern w:val="0"/>
          <w:sz w:val="32"/>
          <w:szCs w:val="32"/>
        </w:rPr>
      </w:pPr>
      <w:r>
        <w:rPr>
          <w:rFonts w:hint="eastAsia" w:ascii="黑体" w:hAnsi="黑体" w:eastAsia="黑体" w:cs="黑体"/>
          <w:bCs/>
          <w:kern w:val="0"/>
          <w:sz w:val="32"/>
          <w:szCs w:val="32"/>
        </w:rPr>
        <w:t>七、开标时间及开标方式：</w:t>
      </w:r>
    </w:p>
    <w:p>
      <w:pPr>
        <w:spacing w:line="480" w:lineRule="exact"/>
        <w:ind w:firstLine="640" w:firstLineChars="200"/>
        <w:jc w:val="left"/>
        <w:textAlignment w:val="center"/>
        <w:rPr>
          <w:rFonts w:ascii="仿宋" w:hAnsi="仿宋" w:eastAsia="仿宋" w:cs="仿宋"/>
          <w:spacing w:val="-4"/>
          <w:kern w:val="0"/>
          <w:sz w:val="32"/>
          <w:szCs w:val="32"/>
        </w:rPr>
      </w:pPr>
      <w:r>
        <w:rPr>
          <w:rFonts w:hint="eastAsia" w:ascii="仿宋" w:hAnsi="仿宋" w:eastAsia="仿宋" w:cs="仿宋"/>
          <w:kern w:val="0"/>
          <w:sz w:val="32"/>
          <w:szCs w:val="32"/>
        </w:rPr>
        <w:t>1.线下：在安义校区新办公楼208会议室召开开标会议，法定代表人或授权及拟派本项目的负责人持合法证件按时到会并签到,未按时到达会议现场的,甲方有权取消其投标资格；邀标单位及投标单位确认投标文件无误后，以抽签方式，先后进入会场</w:t>
      </w:r>
      <w:r>
        <w:rPr>
          <w:rFonts w:hint="eastAsia" w:ascii="仿宋" w:hAnsi="仿宋" w:eastAsia="仿宋" w:cs="仿宋"/>
          <w:spacing w:val="-4"/>
          <w:kern w:val="0"/>
          <w:sz w:val="32"/>
          <w:szCs w:val="32"/>
        </w:rPr>
        <w:t>在15-20分钟之内</w:t>
      </w:r>
      <w:r>
        <w:rPr>
          <w:rFonts w:hint="eastAsia" w:ascii="仿宋" w:hAnsi="仿宋" w:eastAsia="仿宋" w:cs="仿宋"/>
          <w:kern w:val="0"/>
          <w:sz w:val="32"/>
          <w:szCs w:val="32"/>
        </w:rPr>
        <w:t>进行公司介绍、资质审核、成功案例、讲标；然后现场问答等；</w:t>
      </w:r>
      <w:r>
        <w:rPr>
          <w:rFonts w:hint="eastAsia" w:ascii="仿宋" w:hAnsi="仿宋" w:eastAsia="仿宋" w:cs="仿宋"/>
          <w:spacing w:val="-4"/>
          <w:kern w:val="0"/>
          <w:sz w:val="32"/>
          <w:szCs w:val="32"/>
        </w:rPr>
        <w:t>请项目方案技术人员到场，方便现场技术细节沟通。</w:t>
      </w:r>
    </w:p>
    <w:p>
      <w:pPr>
        <w:spacing w:line="480" w:lineRule="exact"/>
        <w:ind w:firstLine="624" w:firstLineChars="200"/>
        <w:jc w:val="left"/>
        <w:textAlignment w:val="center"/>
        <w:rPr>
          <w:rFonts w:ascii="仿宋" w:hAnsi="仿宋" w:eastAsia="仿宋" w:cs="仿宋"/>
          <w:kern w:val="0"/>
          <w:sz w:val="32"/>
          <w:szCs w:val="32"/>
        </w:rPr>
      </w:pPr>
      <w:r>
        <w:rPr>
          <w:rFonts w:hint="eastAsia" w:ascii="仿宋" w:hAnsi="仿宋" w:eastAsia="仿宋" w:cs="仿宋"/>
          <w:spacing w:val="-4"/>
          <w:kern w:val="0"/>
          <w:sz w:val="32"/>
          <w:szCs w:val="32"/>
        </w:rPr>
        <w:t>2.线上：通过腾讯视频会议APP举行，在15-20分钟之内视频进行</w:t>
      </w:r>
      <w:r>
        <w:rPr>
          <w:rFonts w:hint="eastAsia" w:ascii="仿宋" w:hAnsi="仿宋" w:eastAsia="仿宋" w:cs="仿宋"/>
          <w:kern w:val="0"/>
          <w:sz w:val="32"/>
          <w:szCs w:val="32"/>
        </w:rPr>
        <w:t>公司介绍、资质审核、成功案例、方案介绍；然后现场问答等。</w:t>
      </w:r>
      <w:r>
        <w:rPr>
          <w:rFonts w:hint="eastAsia" w:ascii="仿宋" w:hAnsi="仿宋" w:eastAsia="仿宋" w:cs="仿宋"/>
          <w:spacing w:val="-4"/>
          <w:kern w:val="0"/>
          <w:sz w:val="32"/>
          <w:szCs w:val="32"/>
        </w:rPr>
        <w:t>请项目方案技术人员远程在线，方便进行技术细节沟通。</w:t>
      </w:r>
    </w:p>
    <w:p>
      <w:pPr>
        <w:spacing w:line="480" w:lineRule="exact"/>
        <w:ind w:firstLine="640" w:firstLineChars="200"/>
        <w:jc w:val="left"/>
        <w:textAlignment w:val="center"/>
        <w:rPr>
          <w:rFonts w:ascii="仿宋" w:hAnsi="仿宋" w:eastAsia="仿宋" w:cs="仿宋"/>
          <w:kern w:val="0"/>
          <w:sz w:val="32"/>
          <w:szCs w:val="32"/>
        </w:rPr>
      </w:pPr>
      <w:r>
        <w:rPr>
          <w:rFonts w:hint="eastAsia" w:ascii="仿宋" w:hAnsi="仿宋" w:eastAsia="仿宋" w:cs="仿宋"/>
          <w:kern w:val="0"/>
          <w:sz w:val="32"/>
          <w:szCs w:val="32"/>
        </w:rPr>
        <w:t>3.具体开标方式，视情况另行通知。</w:t>
      </w:r>
    </w:p>
    <w:p>
      <w:pPr>
        <w:spacing w:line="480" w:lineRule="exact"/>
        <w:ind w:firstLine="640" w:firstLineChars="200"/>
        <w:jc w:val="left"/>
        <w:textAlignment w:val="center"/>
        <w:rPr>
          <w:rFonts w:ascii="黑体" w:hAnsi="黑体" w:eastAsia="黑体" w:cs="黑体"/>
          <w:bCs/>
          <w:kern w:val="0"/>
          <w:sz w:val="32"/>
          <w:szCs w:val="32"/>
        </w:rPr>
      </w:pPr>
      <w:r>
        <w:rPr>
          <w:rFonts w:hint="eastAsia" w:ascii="黑体" w:hAnsi="黑体" w:eastAsia="黑体" w:cs="黑体"/>
          <w:bCs/>
          <w:kern w:val="0"/>
          <w:sz w:val="32"/>
          <w:szCs w:val="32"/>
        </w:rPr>
        <w:t>八、甲方建设项目要求（详见附件清单）</w:t>
      </w:r>
    </w:p>
    <w:p>
      <w:pPr>
        <w:spacing w:line="480" w:lineRule="exact"/>
        <w:ind w:firstLine="643" w:firstLineChars="200"/>
        <w:textAlignment w:val="center"/>
        <w:rPr>
          <w:rFonts w:ascii="仿宋" w:hAnsi="仿宋" w:eastAsia="仿宋" w:cs="仿宋"/>
          <w:sz w:val="32"/>
          <w:szCs w:val="32"/>
        </w:rPr>
      </w:pPr>
      <w:r>
        <w:rPr>
          <w:rFonts w:hint="eastAsia" w:ascii="仿宋" w:hAnsi="仿宋" w:eastAsia="仿宋" w:cs="仿宋"/>
          <w:b/>
          <w:sz w:val="32"/>
          <w:szCs w:val="32"/>
        </w:rPr>
        <w:t>邀标单位：</w:t>
      </w:r>
      <w:r>
        <w:rPr>
          <w:rFonts w:hint="eastAsia" w:ascii="仿宋" w:hAnsi="仿宋" w:eastAsia="仿宋" w:cs="仿宋"/>
          <w:sz w:val="32"/>
          <w:szCs w:val="32"/>
        </w:rPr>
        <w:t>南昌职业大学（甲方）</w:t>
      </w:r>
    </w:p>
    <w:p>
      <w:pPr>
        <w:spacing w:line="480" w:lineRule="exact"/>
        <w:ind w:firstLine="643" w:firstLineChars="200"/>
        <w:textAlignment w:val="center"/>
        <w:rPr>
          <w:rFonts w:ascii="仿宋" w:hAnsi="仿宋" w:eastAsia="仿宋" w:cs="仿宋"/>
          <w:sz w:val="32"/>
          <w:szCs w:val="32"/>
        </w:rPr>
      </w:pPr>
      <w:r>
        <w:rPr>
          <w:rFonts w:hint="eastAsia" w:ascii="仿宋" w:hAnsi="仿宋" w:eastAsia="仿宋" w:cs="仿宋"/>
          <w:b/>
          <w:sz w:val="32"/>
          <w:szCs w:val="32"/>
        </w:rPr>
        <w:t>单位地址：</w:t>
      </w:r>
      <w:r>
        <w:rPr>
          <w:rFonts w:hint="eastAsia" w:ascii="仿宋" w:hAnsi="仿宋" w:eastAsia="仿宋" w:cs="仿宋"/>
          <w:sz w:val="32"/>
          <w:szCs w:val="32"/>
        </w:rPr>
        <w:t>江西省安义县前进东路8号</w:t>
      </w:r>
    </w:p>
    <w:p>
      <w:pPr>
        <w:spacing w:line="480" w:lineRule="exact"/>
        <w:ind w:firstLine="643" w:firstLineChars="200"/>
        <w:textAlignment w:val="center"/>
        <w:rPr>
          <w:rFonts w:ascii="仿宋" w:hAnsi="仿宋" w:eastAsia="仿宋" w:cs="仿宋"/>
          <w:sz w:val="32"/>
          <w:szCs w:val="32"/>
        </w:rPr>
      </w:pPr>
      <w:r>
        <w:rPr>
          <w:rFonts w:hint="eastAsia" w:ascii="仿宋" w:hAnsi="仿宋" w:eastAsia="仿宋" w:cs="仿宋"/>
          <w:b/>
          <w:sz w:val="32"/>
          <w:szCs w:val="32"/>
        </w:rPr>
        <w:t>发函时间：</w:t>
      </w:r>
      <w:r>
        <w:rPr>
          <w:rFonts w:hint="eastAsia" w:ascii="仿宋" w:hAnsi="仿宋" w:eastAsia="仿宋" w:cs="仿宋"/>
          <w:sz w:val="32"/>
          <w:szCs w:val="32"/>
        </w:rPr>
        <w:t xml:space="preserve">2023年6  月 </w:t>
      </w:r>
      <w:r>
        <w:rPr>
          <w:rFonts w:hint="eastAsia" w:ascii="仿宋" w:hAnsi="仿宋" w:eastAsia="仿宋" w:cs="仿宋"/>
          <w:sz w:val="32"/>
          <w:szCs w:val="32"/>
          <w:lang w:val="en-US" w:eastAsia="zh-CN"/>
        </w:rPr>
        <w:t>7</w:t>
      </w:r>
      <w:r>
        <w:rPr>
          <w:rFonts w:hint="eastAsia" w:ascii="仿宋" w:hAnsi="仿宋" w:eastAsia="仿宋" w:cs="仿宋"/>
          <w:sz w:val="32"/>
          <w:szCs w:val="32"/>
        </w:rPr>
        <w:t xml:space="preserve"> 日</w:t>
      </w:r>
    </w:p>
    <w:p>
      <w:pPr>
        <w:spacing w:line="480" w:lineRule="exact"/>
        <w:ind w:firstLine="643" w:firstLineChars="200"/>
        <w:textAlignment w:val="center"/>
        <w:rPr>
          <w:rFonts w:hint="eastAsia" w:ascii="仿宋" w:hAnsi="仿宋" w:eastAsia="仿宋" w:cs="仿宋"/>
          <w:b/>
          <w:sz w:val="32"/>
          <w:szCs w:val="32"/>
        </w:rPr>
      </w:pPr>
      <w:r>
        <w:rPr>
          <w:rFonts w:hint="eastAsia" w:ascii="仿宋" w:hAnsi="仿宋" w:eastAsia="仿宋" w:cs="仿宋"/>
          <w:b/>
          <w:sz w:val="32"/>
          <w:szCs w:val="32"/>
        </w:rPr>
        <w:t xml:space="preserve">联系人：谭老师：13870912862   </w:t>
      </w:r>
    </w:p>
    <w:p>
      <w:pPr>
        <w:spacing w:line="480" w:lineRule="exact"/>
        <w:ind w:firstLine="643" w:firstLineChars="200"/>
        <w:textAlignment w:val="center"/>
        <w:rPr>
          <w:rFonts w:ascii="仿宋" w:hAnsi="仿宋" w:eastAsia="仿宋" w:cs="仿宋"/>
          <w:sz w:val="32"/>
          <w:szCs w:val="32"/>
        </w:rPr>
      </w:pPr>
      <w:r>
        <w:rPr>
          <w:rFonts w:hint="eastAsia" w:ascii="仿宋" w:hAnsi="仿宋" w:eastAsia="仿宋" w:cs="仿宋"/>
          <w:b/>
          <w:sz w:val="32"/>
          <w:szCs w:val="32"/>
          <w:lang w:eastAsia="zh-CN"/>
        </w:rPr>
        <w:t>技术答疑及现场勘查联系人：</w:t>
      </w:r>
      <w:r>
        <w:rPr>
          <w:rFonts w:hint="eastAsia" w:ascii="仿宋" w:hAnsi="仿宋" w:eastAsia="仿宋" w:cs="仿宋"/>
          <w:b/>
          <w:sz w:val="32"/>
          <w:szCs w:val="32"/>
        </w:rPr>
        <w:t>董老师：18870067120</w:t>
      </w:r>
    </w:p>
    <w:p>
      <w:pPr>
        <w:ind w:firstLine="560" w:firstLineChars="200"/>
        <w:rPr>
          <w:sz w:val="28"/>
          <w:szCs w:val="28"/>
        </w:rPr>
      </w:pPr>
    </w:p>
    <w:p>
      <w:pPr>
        <w:rPr>
          <w:sz w:val="28"/>
          <w:szCs w:val="28"/>
        </w:rPr>
        <w:sectPr>
          <w:pgSz w:w="11906" w:h="16838"/>
          <w:pgMar w:top="1474" w:right="1474" w:bottom="1474" w:left="1587" w:header="851" w:footer="992" w:gutter="0"/>
          <w:cols w:space="425" w:num="1"/>
          <w:docGrid w:type="lines" w:linePitch="312" w:charSpace="0"/>
        </w:sectPr>
      </w:pPr>
    </w:p>
    <w:p>
      <w:pPr>
        <w:rPr>
          <w:sz w:val="28"/>
          <w:szCs w:val="28"/>
        </w:rPr>
      </w:pPr>
    </w:p>
    <w:p>
      <w:pPr>
        <w:rPr>
          <w:rFonts w:hint="eastAsia" w:ascii="黑体" w:hAnsi="黑体" w:eastAsia="黑体" w:cs="黑体"/>
          <w:bCs/>
          <w:sz w:val="32"/>
          <w:szCs w:val="32"/>
        </w:rPr>
      </w:pPr>
      <w:r>
        <w:rPr>
          <w:rFonts w:hint="eastAsia" w:ascii="黑体" w:hAnsi="黑体" w:eastAsia="黑体" w:cs="黑体"/>
          <w:bCs/>
          <w:sz w:val="32"/>
          <w:szCs w:val="32"/>
        </w:rPr>
        <w:t>附件一:</w:t>
      </w:r>
    </w:p>
    <w:p>
      <w:pPr>
        <w:jc w:val="center"/>
        <w:rPr>
          <w:rFonts w:hint="default" w:ascii="黑体" w:hAnsi="黑体" w:eastAsia="黑体" w:cs="黑体"/>
          <w:bCs/>
          <w:sz w:val="32"/>
          <w:szCs w:val="32"/>
          <w:lang w:val="en-US" w:eastAsia="zh-CN"/>
        </w:rPr>
      </w:pPr>
      <w:r>
        <w:rPr>
          <w:rFonts w:hint="eastAsia" w:ascii="黑体" w:hAnsi="黑体" w:eastAsia="黑体" w:cs="黑体"/>
          <w:bCs/>
          <w:sz w:val="32"/>
          <w:szCs w:val="32"/>
          <w:lang w:val="en-US" w:eastAsia="zh-CN"/>
        </w:rPr>
        <w:t>4间机房改造项目</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1"/>
        <w:gridCol w:w="915"/>
        <w:gridCol w:w="765"/>
        <w:gridCol w:w="900"/>
        <w:gridCol w:w="8715"/>
        <w:gridCol w:w="1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821" w:type="dxa"/>
            <w:vAlign w:val="center"/>
          </w:tcPr>
          <w:p>
            <w:pPr>
              <w:jc w:val="center"/>
              <w:rPr>
                <w:rFonts w:ascii="黑体" w:hAnsi="黑体" w:eastAsia="黑体" w:cs="黑体"/>
                <w:bCs/>
                <w:sz w:val="24"/>
              </w:rPr>
            </w:pPr>
            <w:r>
              <w:rPr>
                <w:rFonts w:hint="eastAsia" w:ascii="黑体" w:hAnsi="黑体" w:eastAsia="黑体" w:cs="黑体"/>
                <w:bCs/>
                <w:sz w:val="24"/>
              </w:rPr>
              <w:t>序号</w:t>
            </w:r>
          </w:p>
        </w:tc>
        <w:tc>
          <w:tcPr>
            <w:tcW w:w="915" w:type="dxa"/>
            <w:vAlign w:val="center"/>
          </w:tcPr>
          <w:p>
            <w:pPr>
              <w:jc w:val="center"/>
              <w:rPr>
                <w:rFonts w:ascii="黑体" w:hAnsi="黑体" w:eastAsia="黑体" w:cs="黑体"/>
                <w:bCs/>
                <w:sz w:val="24"/>
              </w:rPr>
            </w:pPr>
            <w:r>
              <w:rPr>
                <w:rFonts w:hint="eastAsia" w:ascii="黑体" w:hAnsi="黑体" w:eastAsia="黑体" w:cs="黑体"/>
                <w:bCs/>
                <w:sz w:val="24"/>
              </w:rPr>
              <w:t>产品</w:t>
            </w:r>
          </w:p>
        </w:tc>
        <w:tc>
          <w:tcPr>
            <w:tcW w:w="765" w:type="dxa"/>
            <w:vAlign w:val="center"/>
          </w:tcPr>
          <w:p>
            <w:pPr>
              <w:jc w:val="center"/>
              <w:rPr>
                <w:rFonts w:ascii="黑体" w:hAnsi="黑体" w:eastAsia="黑体" w:cs="黑体"/>
                <w:bCs/>
                <w:sz w:val="24"/>
              </w:rPr>
            </w:pPr>
            <w:r>
              <w:rPr>
                <w:rFonts w:hint="eastAsia" w:ascii="黑体" w:hAnsi="黑体" w:eastAsia="黑体" w:cs="黑体"/>
                <w:bCs/>
                <w:sz w:val="24"/>
              </w:rPr>
              <w:t>数量</w:t>
            </w:r>
          </w:p>
        </w:tc>
        <w:tc>
          <w:tcPr>
            <w:tcW w:w="900" w:type="dxa"/>
            <w:vAlign w:val="center"/>
          </w:tcPr>
          <w:p>
            <w:pPr>
              <w:jc w:val="center"/>
              <w:rPr>
                <w:rFonts w:ascii="黑体" w:hAnsi="黑体" w:eastAsia="黑体" w:cs="黑体"/>
                <w:bCs/>
                <w:sz w:val="24"/>
              </w:rPr>
            </w:pPr>
            <w:r>
              <w:rPr>
                <w:rFonts w:hint="eastAsia" w:ascii="黑体" w:hAnsi="黑体" w:eastAsia="黑体" w:cs="黑体"/>
                <w:bCs/>
                <w:sz w:val="24"/>
              </w:rPr>
              <w:t>单位</w:t>
            </w:r>
          </w:p>
        </w:tc>
        <w:tc>
          <w:tcPr>
            <w:tcW w:w="8715" w:type="dxa"/>
            <w:vAlign w:val="center"/>
          </w:tcPr>
          <w:p>
            <w:pPr>
              <w:jc w:val="center"/>
              <w:rPr>
                <w:rFonts w:ascii="黑体" w:hAnsi="黑体" w:eastAsia="黑体" w:cs="黑体"/>
                <w:bCs/>
                <w:sz w:val="24"/>
              </w:rPr>
            </w:pPr>
            <w:r>
              <w:rPr>
                <w:rFonts w:hint="eastAsia" w:ascii="黑体" w:hAnsi="黑体" w:eastAsia="黑体" w:cs="黑体"/>
                <w:bCs/>
                <w:sz w:val="24"/>
              </w:rPr>
              <w:t>招标参数</w:t>
            </w:r>
          </w:p>
        </w:tc>
        <w:tc>
          <w:tcPr>
            <w:tcW w:w="1875" w:type="dxa"/>
            <w:vAlign w:val="center"/>
          </w:tcPr>
          <w:p>
            <w:pPr>
              <w:jc w:val="center"/>
              <w:rPr>
                <w:rFonts w:ascii="黑体" w:hAnsi="黑体" w:eastAsia="黑体" w:cs="黑体"/>
                <w:bCs/>
                <w:sz w:val="24"/>
              </w:rPr>
            </w:pPr>
            <w:r>
              <w:rPr>
                <w:rFonts w:hint="eastAsia" w:ascii="黑体" w:hAnsi="黑体" w:eastAsia="黑体" w:cs="黑体"/>
                <w:bCs/>
                <w:sz w:val="24"/>
              </w:rPr>
              <w:t>存放地点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3" w:hRule="atLeast"/>
        </w:trPr>
        <w:tc>
          <w:tcPr>
            <w:tcW w:w="821" w:type="dxa"/>
          </w:tcPr>
          <w:p>
            <w:pPr>
              <w:rPr>
                <w:rFonts w:ascii="黑体" w:hAnsi="黑体" w:eastAsia="黑体" w:cs="黑体"/>
                <w:bCs/>
                <w:szCs w:val="21"/>
              </w:rPr>
            </w:pPr>
            <w:r>
              <w:rPr>
                <w:rFonts w:hint="eastAsia" w:ascii="黑体" w:hAnsi="黑体" w:eastAsia="黑体" w:cs="黑体"/>
                <w:bCs/>
                <w:szCs w:val="21"/>
              </w:rPr>
              <w:t>1</w:t>
            </w:r>
          </w:p>
        </w:tc>
        <w:tc>
          <w:tcPr>
            <w:tcW w:w="915" w:type="dxa"/>
          </w:tcPr>
          <w:p>
            <w:pPr>
              <w:rPr>
                <w:rFonts w:ascii="黑体" w:hAnsi="黑体" w:eastAsia="黑体" w:cs="黑体"/>
                <w:bCs/>
                <w:szCs w:val="21"/>
              </w:rPr>
            </w:pPr>
            <w:r>
              <w:rPr>
                <w:rFonts w:hint="eastAsia" w:ascii="黑体" w:hAnsi="黑体" w:eastAsia="黑体" w:cs="黑体"/>
                <w:bCs/>
                <w:szCs w:val="21"/>
              </w:rPr>
              <w:t>服务器</w:t>
            </w:r>
          </w:p>
        </w:tc>
        <w:tc>
          <w:tcPr>
            <w:tcW w:w="765" w:type="dxa"/>
          </w:tcPr>
          <w:p>
            <w:pPr>
              <w:rPr>
                <w:szCs w:val="21"/>
              </w:rPr>
            </w:pPr>
            <w:r>
              <w:rPr>
                <w:szCs w:val="21"/>
              </w:rPr>
              <w:t>1</w:t>
            </w:r>
          </w:p>
        </w:tc>
        <w:tc>
          <w:tcPr>
            <w:tcW w:w="900" w:type="dxa"/>
          </w:tcPr>
          <w:p>
            <w:pPr>
              <w:rPr>
                <w:rFonts w:ascii="黑体" w:hAnsi="黑体" w:eastAsia="黑体" w:cs="黑体"/>
                <w:bCs/>
                <w:szCs w:val="21"/>
              </w:rPr>
            </w:pPr>
            <w:r>
              <w:rPr>
                <w:rFonts w:hint="eastAsia" w:ascii="黑体" w:hAnsi="黑体" w:eastAsia="黑体" w:cs="黑体"/>
                <w:bCs/>
                <w:szCs w:val="21"/>
              </w:rPr>
              <w:t>台</w:t>
            </w:r>
          </w:p>
        </w:tc>
        <w:tc>
          <w:tcPr>
            <w:tcW w:w="8715" w:type="dxa"/>
          </w:tcPr>
          <w:p>
            <w:pPr>
              <w:rPr>
                <w:rFonts w:ascii="黑体" w:hAnsi="黑体" w:eastAsia="黑体" w:cs="黑体"/>
                <w:bCs/>
                <w:sz w:val="18"/>
                <w:szCs w:val="18"/>
              </w:rPr>
            </w:pPr>
            <w:r>
              <w:rPr>
                <w:rFonts w:hint="eastAsia" w:ascii="黑体" w:hAnsi="黑体" w:eastAsia="黑体" w:cs="黑体"/>
                <w:bCs/>
                <w:sz w:val="18"/>
                <w:szCs w:val="18"/>
              </w:rPr>
              <w:t>一、服务器：机架式（带导轨）</w:t>
            </w:r>
          </w:p>
          <w:p>
            <w:pPr>
              <w:rPr>
                <w:rFonts w:ascii="黑体" w:hAnsi="黑体" w:eastAsia="黑体" w:cs="黑体"/>
                <w:bCs/>
                <w:sz w:val="18"/>
                <w:szCs w:val="18"/>
              </w:rPr>
            </w:pPr>
            <w:r>
              <w:rPr>
                <w:rFonts w:hint="eastAsia" w:ascii="黑体" w:hAnsi="黑体" w:eastAsia="黑体" w:cs="黑体"/>
                <w:bCs/>
                <w:sz w:val="18"/>
                <w:szCs w:val="18"/>
              </w:rPr>
              <w:t>CPU: 1 X Intel Xeon E-2236/3.4GHz/12M/6C/12T/80W</w:t>
            </w:r>
          </w:p>
          <w:p>
            <w:pPr>
              <w:rPr>
                <w:rFonts w:ascii="黑体" w:hAnsi="黑体" w:eastAsia="黑体" w:cs="黑体"/>
                <w:bCs/>
                <w:sz w:val="18"/>
                <w:szCs w:val="18"/>
              </w:rPr>
            </w:pPr>
            <w:r>
              <w:rPr>
                <w:rFonts w:hint="eastAsia" w:ascii="黑体" w:hAnsi="黑体" w:eastAsia="黑体" w:cs="黑体"/>
                <w:bCs/>
                <w:sz w:val="18"/>
                <w:szCs w:val="18"/>
              </w:rPr>
              <w:t>内存：2*16GB/DDR4/2133或2400MHz/ECC/REG/2RANK</w:t>
            </w:r>
          </w:p>
          <w:p>
            <w:pPr>
              <w:rPr>
                <w:rFonts w:ascii="黑体" w:hAnsi="黑体" w:eastAsia="黑体" w:cs="黑体"/>
                <w:bCs/>
                <w:sz w:val="18"/>
                <w:szCs w:val="18"/>
              </w:rPr>
            </w:pPr>
            <w:r>
              <w:rPr>
                <w:rFonts w:hint="eastAsia" w:ascii="黑体" w:hAnsi="黑体" w:eastAsia="黑体" w:cs="黑体"/>
                <w:bCs/>
                <w:sz w:val="18"/>
                <w:szCs w:val="18"/>
              </w:rPr>
              <w:t>硬盘：3 X 2TB/SATA/2.5寸/企业级</w:t>
            </w:r>
          </w:p>
          <w:p>
            <w:pPr>
              <w:rPr>
                <w:rFonts w:ascii="黑体" w:hAnsi="黑体" w:eastAsia="黑体" w:cs="黑体"/>
                <w:bCs/>
                <w:sz w:val="18"/>
                <w:szCs w:val="18"/>
              </w:rPr>
            </w:pPr>
            <w:r>
              <w:rPr>
                <w:rFonts w:hint="eastAsia" w:ascii="黑体" w:hAnsi="黑体" w:eastAsia="黑体" w:cs="黑体"/>
                <w:bCs/>
                <w:sz w:val="18"/>
                <w:szCs w:val="18"/>
              </w:rPr>
              <w:t>网卡：2*千兆以太网卡</w:t>
            </w:r>
          </w:p>
          <w:p>
            <w:pPr>
              <w:rPr>
                <w:rFonts w:ascii="黑体" w:hAnsi="黑体" w:eastAsia="黑体" w:cs="黑体"/>
                <w:bCs/>
                <w:sz w:val="18"/>
                <w:szCs w:val="18"/>
              </w:rPr>
            </w:pPr>
            <w:r>
              <w:rPr>
                <w:rFonts w:hint="eastAsia" w:ascii="黑体" w:hAnsi="黑体" w:eastAsia="黑体" w:cs="黑体"/>
                <w:bCs/>
                <w:sz w:val="18"/>
                <w:szCs w:val="18"/>
              </w:rPr>
              <w:t>扩展槽：3个 PCI-E 接口，4个USB接口，1个VGA接口，1个RJ45管理口</w:t>
            </w:r>
          </w:p>
          <w:p>
            <w:pPr>
              <w:rPr>
                <w:rFonts w:ascii="黑体" w:hAnsi="黑体" w:eastAsia="黑体" w:cs="黑体"/>
                <w:bCs/>
                <w:sz w:val="18"/>
                <w:szCs w:val="18"/>
              </w:rPr>
            </w:pPr>
            <w:r>
              <w:rPr>
                <w:rFonts w:hint="eastAsia" w:ascii="黑体" w:hAnsi="黑体" w:eastAsia="黑体" w:cs="黑体"/>
                <w:bCs/>
                <w:sz w:val="18"/>
                <w:szCs w:val="18"/>
              </w:rPr>
              <w:t>电源：500W</w:t>
            </w:r>
          </w:p>
        </w:tc>
        <w:tc>
          <w:tcPr>
            <w:tcW w:w="1875" w:type="dxa"/>
          </w:tcPr>
          <w:p/>
          <w:p>
            <w:pPr>
              <w:ind w:firstLine="354"/>
            </w:pPr>
            <w:r>
              <w:rPr>
                <w:rFonts w:hint="eastAsia"/>
              </w:rPr>
              <w:t>老艺术楼315、316、317、515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821" w:type="dxa"/>
          </w:tcPr>
          <w:p>
            <w:pPr>
              <w:rPr>
                <w:rFonts w:ascii="黑体" w:hAnsi="黑体" w:eastAsia="黑体" w:cs="黑体"/>
                <w:bCs/>
                <w:szCs w:val="21"/>
              </w:rPr>
            </w:pPr>
            <w:r>
              <w:rPr>
                <w:rFonts w:ascii="黑体" w:hAnsi="黑体" w:eastAsia="黑体" w:cs="黑体"/>
                <w:bCs/>
                <w:szCs w:val="21"/>
              </w:rPr>
              <w:t>2</w:t>
            </w:r>
          </w:p>
        </w:tc>
        <w:tc>
          <w:tcPr>
            <w:tcW w:w="915" w:type="dxa"/>
          </w:tcPr>
          <w:p>
            <w:pPr>
              <w:rPr>
                <w:rFonts w:ascii="黑体" w:hAnsi="黑体" w:eastAsia="黑体" w:cs="黑体"/>
                <w:bCs/>
                <w:szCs w:val="21"/>
              </w:rPr>
            </w:pPr>
            <w:r>
              <w:rPr>
                <w:rFonts w:hint="eastAsia" w:ascii="黑体" w:hAnsi="黑体" w:eastAsia="黑体" w:cs="黑体"/>
                <w:bCs/>
                <w:szCs w:val="21"/>
              </w:rPr>
              <w:t>云桌面</w:t>
            </w:r>
          </w:p>
        </w:tc>
        <w:tc>
          <w:tcPr>
            <w:tcW w:w="765" w:type="dxa"/>
          </w:tcPr>
          <w:p>
            <w:pPr>
              <w:rPr>
                <w:rFonts w:ascii="黑体" w:hAnsi="黑体" w:eastAsia="黑体" w:cs="黑体"/>
                <w:bCs/>
                <w:szCs w:val="21"/>
              </w:rPr>
            </w:pPr>
            <w:r>
              <w:rPr>
                <w:rFonts w:hint="eastAsia" w:ascii="黑体" w:hAnsi="黑体" w:eastAsia="黑体" w:cs="黑体"/>
                <w:bCs/>
                <w:szCs w:val="21"/>
              </w:rPr>
              <w:t>268</w:t>
            </w:r>
          </w:p>
        </w:tc>
        <w:tc>
          <w:tcPr>
            <w:tcW w:w="900" w:type="dxa"/>
          </w:tcPr>
          <w:p>
            <w:pPr>
              <w:rPr>
                <w:rFonts w:hint="eastAsia" w:ascii="黑体" w:hAnsi="黑体" w:eastAsia="黑体" w:cs="黑体"/>
                <w:bCs/>
                <w:szCs w:val="21"/>
                <w:lang w:eastAsia="zh-CN"/>
              </w:rPr>
            </w:pPr>
            <w:r>
              <w:rPr>
                <w:rFonts w:hint="eastAsia" w:ascii="黑体" w:hAnsi="黑体" w:eastAsia="黑体" w:cs="黑体"/>
                <w:bCs/>
                <w:szCs w:val="21"/>
                <w:lang w:eastAsia="zh-CN"/>
              </w:rPr>
              <w:t>套</w:t>
            </w:r>
          </w:p>
        </w:tc>
        <w:tc>
          <w:tcPr>
            <w:tcW w:w="8715" w:type="dxa"/>
          </w:tcPr>
          <w:p>
            <w:pPr>
              <w:rPr>
                <w:rFonts w:ascii="黑体" w:hAnsi="黑体" w:eastAsia="黑体" w:cs="黑体"/>
                <w:bCs/>
                <w:sz w:val="18"/>
                <w:szCs w:val="18"/>
              </w:rPr>
            </w:pPr>
            <w:r>
              <w:rPr>
                <w:rFonts w:hint="eastAsia" w:ascii="黑体" w:hAnsi="黑体" w:eastAsia="黑体" w:cs="黑体"/>
                <w:bCs/>
                <w:sz w:val="18"/>
                <w:szCs w:val="18"/>
              </w:rPr>
              <w:t>二、云桌面软件：1、 为适应不同的管理者云桌面系统必须为C/S、B/S两种架构全支持。在同一服务器云管理平台下，客户机云桌面除了支持windows系统外，还支持UOS和麒麟操作系统（提供原厂技术承诺函）</w:t>
            </w:r>
          </w:p>
          <w:p>
            <w:pPr>
              <w:rPr>
                <w:rFonts w:ascii="黑体" w:hAnsi="黑体" w:eastAsia="黑体" w:cs="黑体"/>
                <w:bCs/>
                <w:sz w:val="18"/>
                <w:szCs w:val="18"/>
              </w:rPr>
            </w:pPr>
            <w:r>
              <w:rPr>
                <w:rFonts w:hint="eastAsia" w:ascii="黑体" w:hAnsi="黑体" w:eastAsia="黑体" w:cs="黑体"/>
                <w:bCs/>
                <w:sz w:val="18"/>
                <w:szCs w:val="18"/>
              </w:rPr>
              <w:t>2、 多镜像多节点缓存，每个镜像支持最少10个快照更新节点，支持做父子节点或者兄弟节点两种模式，并通过树状结构展示节点间关系。支持同一镜像下多快照节点同时都加入启动菜单，同时离线缓存，可以由终端用户在启动时直接选择不同快照节点切换启动，在断网情况下，已经离线完成的同镜像下的多快照更新节点可以随意切换启动。（提供功能截图并加盖原厂公章）</w:t>
            </w:r>
          </w:p>
          <w:p>
            <w:pPr>
              <w:rPr>
                <w:rFonts w:ascii="黑体" w:hAnsi="黑体" w:eastAsia="黑体" w:cs="黑体"/>
                <w:bCs/>
                <w:sz w:val="18"/>
                <w:szCs w:val="18"/>
              </w:rPr>
            </w:pPr>
            <w:r>
              <w:rPr>
                <w:rFonts w:hint="eastAsia" w:ascii="黑体" w:hAnsi="黑体" w:eastAsia="黑体" w:cs="黑体"/>
                <w:bCs/>
                <w:sz w:val="18"/>
                <w:szCs w:val="18"/>
              </w:rPr>
              <w:t>3、 WEB管理：具备支持创建任意多个管理员帐号，并可自定义管理权限，实现机房多人分级安全管理功能；通过WEB管理页面可以实现所有的管理操作，支持IOS设备、Android手机对实验室的管理，实现使用环境的实时切换，系统开机及关机。</w:t>
            </w:r>
          </w:p>
          <w:p>
            <w:pPr>
              <w:rPr>
                <w:rFonts w:ascii="黑体" w:hAnsi="黑体" w:eastAsia="黑体" w:cs="黑体"/>
                <w:bCs/>
                <w:sz w:val="18"/>
                <w:szCs w:val="18"/>
              </w:rPr>
            </w:pPr>
            <w:r>
              <w:rPr>
                <w:rFonts w:hint="eastAsia" w:ascii="黑体" w:hAnsi="黑体" w:eastAsia="黑体" w:cs="黑体"/>
                <w:bCs/>
                <w:sz w:val="18"/>
                <w:szCs w:val="18"/>
              </w:rPr>
              <w:t>4、 为便于管理员对机房的管理，具有设置学生机启动显示菜单隐藏菜单条目的功能，对学生机可以设置多菜单条目启动，设置完成后，对不希望展示给学生的启动菜单进行隐藏勾选，勾选过的菜单在学生机启动时不显示，其余未勾选菜单正常显示。（提供功能截图并加盖原厂公章）</w:t>
            </w:r>
          </w:p>
          <w:p>
            <w:pPr>
              <w:rPr>
                <w:rFonts w:ascii="黑体" w:hAnsi="黑体" w:eastAsia="黑体" w:cs="黑体"/>
                <w:bCs/>
                <w:sz w:val="18"/>
                <w:szCs w:val="18"/>
              </w:rPr>
            </w:pPr>
            <w:r>
              <w:rPr>
                <w:rFonts w:hint="eastAsia" w:ascii="黑体" w:hAnsi="黑体" w:eastAsia="黑体" w:cs="黑体"/>
                <w:bCs/>
                <w:sz w:val="18"/>
                <w:szCs w:val="18"/>
              </w:rPr>
              <w:t>5、 采用PBoot协议，并兼容INTEL PXE协议，在不修改交换机配置的情况下，学生机可以无条件跨网关，支持外部交换机提供DHCP、固定IP、自动提供三种方式，为保证网络数据可查，跨网段不能采用在服务器或其他机器安装代理软件的方式。（提供原厂技术承诺函）</w:t>
            </w:r>
          </w:p>
          <w:p>
            <w:pPr>
              <w:rPr>
                <w:rFonts w:ascii="黑体" w:hAnsi="黑体" w:eastAsia="黑体" w:cs="黑体"/>
                <w:bCs/>
                <w:sz w:val="18"/>
                <w:szCs w:val="18"/>
              </w:rPr>
            </w:pPr>
            <w:r>
              <w:rPr>
                <w:rFonts w:hint="eastAsia" w:ascii="黑体" w:hAnsi="黑体" w:eastAsia="黑体" w:cs="黑体"/>
                <w:bCs/>
                <w:sz w:val="18"/>
                <w:szCs w:val="18"/>
              </w:rPr>
              <w:t>6、 系统包含电子教室软件功能，云桌面系统必须与电子教室管理软件配合，可以在云桌面服务器管理端(非电子教室软件老师端)上统一设定云终端电子教室软件中的频道号参数。（提供功能截图并加盖原厂公章）</w:t>
            </w:r>
          </w:p>
          <w:p>
            <w:pPr>
              <w:rPr>
                <w:rFonts w:ascii="黑体" w:hAnsi="黑体" w:eastAsia="黑体" w:cs="黑体"/>
                <w:bCs/>
                <w:sz w:val="18"/>
                <w:szCs w:val="18"/>
              </w:rPr>
            </w:pPr>
            <w:r>
              <w:rPr>
                <w:rFonts w:hint="eastAsia" w:ascii="黑体" w:hAnsi="黑体" w:eastAsia="黑体" w:cs="黑体"/>
                <w:bCs/>
                <w:sz w:val="18"/>
                <w:szCs w:val="18"/>
              </w:rPr>
              <w:t>7、 学生机全部盘符均采用还原模式，对于用户指定的文件和注册表键值可以直接同步保存在云服务器上，并可在服务器上浏览并修改这些文件（非远程桌面修改模式），修改完毕的文件可以直接自动回传到学生机上，满足各类软件的需求。每次开机这些指定的文件不会被还原。（提供功能截图并加盖原厂公章）</w:t>
            </w:r>
          </w:p>
          <w:p>
            <w:pPr>
              <w:rPr>
                <w:rFonts w:ascii="黑体" w:hAnsi="黑体" w:eastAsia="黑体" w:cs="黑体"/>
                <w:bCs/>
                <w:sz w:val="18"/>
                <w:szCs w:val="18"/>
              </w:rPr>
            </w:pPr>
            <w:r>
              <w:rPr>
                <w:rFonts w:hint="eastAsia" w:ascii="黑体" w:hAnsi="黑体" w:eastAsia="黑体" w:cs="黑体"/>
                <w:bCs/>
                <w:sz w:val="18"/>
                <w:szCs w:val="18"/>
              </w:rPr>
              <w:t>8、 单一台服务器可以支持1000台客户机的同时启动。客户机系统启动后，不占用服务器资源，运行各类软件全部使用客户机本地CPU、内存、显卡资源，在不使用GPU卡的情况下必须多机流畅运行CATIA、UG、PRO-E等三维设计软件。</w:t>
            </w:r>
          </w:p>
          <w:p>
            <w:pPr>
              <w:rPr>
                <w:rFonts w:ascii="黑体" w:hAnsi="黑体" w:eastAsia="黑体" w:cs="黑体"/>
                <w:bCs/>
                <w:sz w:val="18"/>
                <w:szCs w:val="18"/>
              </w:rPr>
            </w:pPr>
            <w:r>
              <w:rPr>
                <w:rFonts w:hint="eastAsia" w:ascii="黑体" w:hAnsi="黑体" w:eastAsia="黑体" w:cs="黑体"/>
                <w:bCs/>
                <w:sz w:val="18"/>
                <w:szCs w:val="18"/>
              </w:rPr>
              <w:t>9、 服务器端镜像提供映射模式，可以把镜像在服务器端直接映射成系统盘符操作。保障电子考试，在云服务器端可以设置客户机禁止共享。（提供功能截图并加盖原厂公章）</w:t>
            </w:r>
          </w:p>
          <w:p>
            <w:pPr>
              <w:rPr>
                <w:rFonts w:ascii="黑体" w:hAnsi="黑体" w:eastAsia="黑体" w:cs="黑体"/>
                <w:bCs/>
                <w:sz w:val="18"/>
                <w:szCs w:val="18"/>
              </w:rPr>
            </w:pPr>
            <w:r>
              <w:rPr>
                <w:rFonts w:hint="eastAsia" w:ascii="黑体" w:hAnsi="黑体" w:eastAsia="黑体" w:cs="黑体"/>
                <w:bCs/>
                <w:sz w:val="18"/>
                <w:szCs w:val="18"/>
              </w:rPr>
              <w:t xml:space="preserve">10、 云终端开机后可以提供多种桌面应用环境给用户选择，也可以由管理员在服务器端指定教学桌面环境给特定的云终端； 云终端内置与服务端管理平台配套的受控组件，管理平台可向任意云终端发送远程命令，包括自动时间校对、文件分发、远程开关机等，并能自定义远程控制命令； </w:t>
            </w:r>
          </w:p>
          <w:p>
            <w:pPr>
              <w:rPr>
                <w:rFonts w:ascii="黑体" w:hAnsi="黑体" w:eastAsia="黑体" w:cs="黑体"/>
                <w:bCs/>
                <w:sz w:val="18"/>
                <w:szCs w:val="18"/>
              </w:rPr>
            </w:pPr>
            <w:r>
              <w:rPr>
                <w:rFonts w:hint="eastAsia" w:ascii="黑体" w:hAnsi="黑体" w:eastAsia="黑体" w:cs="黑体"/>
                <w:bCs/>
                <w:sz w:val="18"/>
                <w:szCs w:val="18"/>
              </w:rPr>
              <w:t>11、 为管理方便起见，系统管理员可以在软件中远程监看客户端电脑的屏幕并进行远程控制；系统管理员远程控制客户端电脑时，必须具备直接控制和授权控制两种方式。在授权控制时，远程控制必须得到客户端电脑使用者的许可。（提供功能截图并加盖原厂公章）</w:t>
            </w:r>
          </w:p>
          <w:p>
            <w:pPr>
              <w:rPr>
                <w:rFonts w:ascii="黑体" w:hAnsi="黑体" w:eastAsia="黑体" w:cs="黑体"/>
                <w:bCs/>
                <w:sz w:val="18"/>
                <w:szCs w:val="18"/>
              </w:rPr>
            </w:pPr>
            <w:r>
              <w:rPr>
                <w:rFonts w:hint="eastAsia" w:ascii="黑体" w:hAnsi="黑体" w:eastAsia="黑体" w:cs="黑体"/>
                <w:bCs/>
                <w:sz w:val="18"/>
                <w:szCs w:val="18"/>
              </w:rPr>
              <w:t>12、 具备多种还原模式，可设置还原、不还原、或制定还原排程，开机直接登陆，无需账号登陆。</w:t>
            </w:r>
          </w:p>
          <w:p>
            <w:pPr>
              <w:rPr>
                <w:rFonts w:ascii="黑体" w:hAnsi="黑体" w:eastAsia="黑体" w:cs="黑体"/>
                <w:bCs/>
                <w:sz w:val="18"/>
                <w:szCs w:val="18"/>
              </w:rPr>
            </w:pPr>
            <w:r>
              <w:rPr>
                <w:rFonts w:hint="eastAsia" w:ascii="黑体" w:hAnsi="黑体" w:eastAsia="黑体" w:cs="黑体"/>
                <w:bCs/>
                <w:sz w:val="18"/>
                <w:szCs w:val="18"/>
              </w:rPr>
              <w:t>13、 支持自动增量快照维护，可以在服务器端指定安装的应用程序和维护时间，客户机在该时间会自动启动并安装相关程序，安装完毕后，客户机在还原启动下，新装软件仍旧存在。（提供功能截图并加盖原厂公章）</w:t>
            </w:r>
          </w:p>
          <w:p>
            <w:pPr>
              <w:rPr>
                <w:rFonts w:ascii="黑体" w:hAnsi="黑体" w:eastAsia="黑体" w:cs="黑体"/>
                <w:bCs/>
                <w:sz w:val="18"/>
                <w:szCs w:val="18"/>
              </w:rPr>
            </w:pPr>
            <w:r>
              <w:rPr>
                <w:rFonts w:hint="eastAsia" w:ascii="黑体" w:hAnsi="黑体" w:eastAsia="黑体" w:cs="黑体"/>
                <w:bCs/>
                <w:sz w:val="18"/>
                <w:szCs w:val="18"/>
              </w:rPr>
              <w:t>14、 提供高效客户端设置功能：系统具备客户端电脑群组管理功能，可以将不同的客户端电脑划分成不同的群组进行管理，以便和各个部门一一对应。系统管理员还可以统一设置客户端电脑的机器名、IP地址、所需要启动的镜像等参数。</w:t>
            </w:r>
          </w:p>
          <w:p>
            <w:pPr>
              <w:rPr>
                <w:rFonts w:ascii="黑体" w:hAnsi="黑体" w:eastAsia="黑体" w:cs="黑体"/>
                <w:bCs/>
                <w:sz w:val="18"/>
                <w:szCs w:val="18"/>
              </w:rPr>
            </w:pPr>
            <w:r>
              <w:rPr>
                <w:rFonts w:hint="eastAsia" w:ascii="黑体" w:hAnsi="黑体" w:eastAsia="黑体" w:cs="黑体"/>
                <w:bCs/>
                <w:sz w:val="18"/>
                <w:szCs w:val="18"/>
              </w:rPr>
              <w:t>15、 云终端登陆到桌面后，可以在桌面显示该云终端名称，在托盘程序显示其连接的服务器及离线的百分比。可在服务器端设置每台客户机的显示分辨率和色彩。为保证网络带宽可以设定每台云终端上传、下载所使用的网络带宽。当主控机宕机或网络中断时，支持云终端关机重启并继续使用。系统部署完毕后，可以设定云终端锁定，禁止非管控的云终端加入系统。</w:t>
            </w:r>
          </w:p>
          <w:p>
            <w:pPr>
              <w:rPr>
                <w:rFonts w:ascii="黑体" w:hAnsi="黑体" w:eastAsia="黑体" w:cs="黑体"/>
                <w:bCs/>
                <w:sz w:val="18"/>
                <w:szCs w:val="18"/>
              </w:rPr>
            </w:pPr>
            <w:r>
              <w:rPr>
                <w:rFonts w:hint="eastAsia" w:ascii="黑体" w:hAnsi="黑体" w:eastAsia="黑体" w:cs="黑体"/>
                <w:bCs/>
                <w:sz w:val="18"/>
                <w:szCs w:val="18"/>
              </w:rPr>
              <w:t>16、 管理端具有网络拓扑模块，可以按照实际网络情况，把终端分配到不同的交换机下以减少交换机之间不必要的数据交换，从而提升离线速度，降低交换机的压力。（提供功能截图并加盖原厂公章）</w:t>
            </w:r>
          </w:p>
          <w:p>
            <w:pPr>
              <w:rPr>
                <w:rFonts w:ascii="黑体" w:hAnsi="黑体" w:eastAsia="黑体" w:cs="黑体"/>
                <w:bCs/>
                <w:sz w:val="18"/>
                <w:szCs w:val="18"/>
              </w:rPr>
            </w:pPr>
            <w:r>
              <w:rPr>
                <w:rFonts w:hint="eastAsia" w:ascii="黑体" w:hAnsi="黑体" w:eastAsia="黑体" w:cs="黑体"/>
                <w:bCs/>
                <w:sz w:val="18"/>
                <w:szCs w:val="18"/>
              </w:rPr>
              <w:t>17、 利用虚拟化技术，在服务器上通过浏览器直接对镜像进行修改，安装软件，没有了硬件设备的限制。</w:t>
            </w:r>
          </w:p>
          <w:p>
            <w:pPr>
              <w:rPr>
                <w:rFonts w:ascii="黑体" w:hAnsi="黑体" w:eastAsia="黑体" w:cs="黑体"/>
                <w:bCs/>
                <w:sz w:val="18"/>
                <w:szCs w:val="18"/>
              </w:rPr>
            </w:pPr>
            <w:r>
              <w:rPr>
                <w:rFonts w:hint="eastAsia" w:ascii="黑体" w:hAnsi="黑体" w:eastAsia="黑体" w:cs="黑体"/>
                <w:bCs/>
                <w:sz w:val="18"/>
                <w:szCs w:val="18"/>
              </w:rPr>
              <w:t>18、 为保证系统稳定性具有CPU、硬盘温度监测报警功能，具有资产盘点检测报警功能，报警时可以给预先设定的手机号发短信。具有学生机在线使用率和上线率的数据统计，可以按照日、月、群组等维度通过折线趋势图展示。（提供功能截图并加盖原厂公章）</w:t>
            </w:r>
          </w:p>
          <w:p>
            <w:r>
              <w:rPr>
                <w:rFonts w:hint="eastAsia" w:ascii="黑体" w:hAnsi="黑体" w:eastAsia="黑体" w:cs="黑体"/>
                <w:bCs/>
                <w:sz w:val="18"/>
                <w:szCs w:val="18"/>
              </w:rPr>
              <w:t>19、 具备手动配置资产盘点表的功能，可以为用户资产添加终端类型、品牌、质保期限等相关数据，也可以为每台电脑添加图片数据并展示出来，展示方式分为列表展示和图标展示两种。（提供功能截图并加盖原厂公章）</w:t>
            </w:r>
          </w:p>
        </w:tc>
        <w:tc>
          <w:tcPr>
            <w:tcW w:w="1875" w:type="dxa"/>
          </w:tcPr>
          <w:p>
            <w:r>
              <w:rPr>
                <w:rFonts w:hint="eastAsia"/>
              </w:rPr>
              <w:t>老艺术楼315、316、317、515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21" w:type="dxa"/>
          </w:tcPr>
          <w:p>
            <w:pPr>
              <w:rPr>
                <w:rFonts w:ascii="黑体" w:hAnsi="黑体" w:eastAsia="黑体" w:cs="黑体"/>
                <w:bCs/>
                <w:szCs w:val="21"/>
              </w:rPr>
            </w:pPr>
            <w:r>
              <w:rPr>
                <w:rFonts w:ascii="黑体" w:hAnsi="黑体" w:eastAsia="黑体" w:cs="黑体"/>
                <w:bCs/>
                <w:szCs w:val="21"/>
              </w:rPr>
              <w:t>3</w:t>
            </w:r>
          </w:p>
        </w:tc>
        <w:tc>
          <w:tcPr>
            <w:tcW w:w="915" w:type="dxa"/>
          </w:tcPr>
          <w:p>
            <w:pPr>
              <w:rPr>
                <w:rFonts w:ascii="黑体" w:hAnsi="黑体" w:eastAsia="黑体" w:cs="黑体"/>
                <w:bCs/>
                <w:szCs w:val="21"/>
              </w:rPr>
            </w:pPr>
            <w:r>
              <w:rPr>
                <w:rFonts w:hint="eastAsia" w:ascii="黑体" w:hAnsi="黑体" w:eastAsia="黑体" w:cs="黑体"/>
                <w:bCs/>
                <w:szCs w:val="21"/>
              </w:rPr>
              <w:t>硬盘</w:t>
            </w:r>
          </w:p>
        </w:tc>
        <w:tc>
          <w:tcPr>
            <w:tcW w:w="765" w:type="dxa"/>
          </w:tcPr>
          <w:p>
            <w:pPr>
              <w:rPr>
                <w:rFonts w:ascii="黑体" w:hAnsi="黑体" w:eastAsia="黑体" w:cs="黑体"/>
                <w:bCs/>
                <w:szCs w:val="21"/>
              </w:rPr>
            </w:pPr>
            <w:r>
              <w:rPr>
                <w:rFonts w:hint="eastAsia" w:ascii="黑体" w:hAnsi="黑体" w:eastAsia="黑体" w:cs="黑体"/>
                <w:bCs/>
                <w:szCs w:val="21"/>
              </w:rPr>
              <w:t>268</w:t>
            </w:r>
          </w:p>
        </w:tc>
        <w:tc>
          <w:tcPr>
            <w:tcW w:w="900" w:type="dxa"/>
          </w:tcPr>
          <w:p>
            <w:pPr>
              <w:rPr>
                <w:rFonts w:ascii="黑体" w:hAnsi="黑体" w:eastAsia="黑体" w:cs="黑体"/>
                <w:bCs/>
                <w:szCs w:val="21"/>
              </w:rPr>
            </w:pPr>
            <w:r>
              <w:rPr>
                <w:rFonts w:hint="eastAsia" w:ascii="黑体" w:hAnsi="黑体" w:eastAsia="黑体" w:cs="黑体"/>
                <w:bCs/>
                <w:szCs w:val="21"/>
              </w:rPr>
              <w:t>个</w:t>
            </w:r>
          </w:p>
        </w:tc>
        <w:tc>
          <w:tcPr>
            <w:tcW w:w="8715" w:type="dxa"/>
          </w:tcPr>
          <w:p>
            <w:pPr>
              <w:rPr>
                <w:rFonts w:ascii="黑体" w:hAnsi="黑体" w:eastAsia="黑体" w:cs="黑体"/>
                <w:bCs/>
                <w:sz w:val="18"/>
                <w:szCs w:val="18"/>
              </w:rPr>
            </w:pPr>
            <w:r>
              <w:rPr>
                <w:rFonts w:hint="eastAsia" w:ascii="黑体" w:hAnsi="黑体" w:eastAsia="黑体" w:cs="黑体"/>
                <w:bCs/>
                <w:sz w:val="18"/>
                <w:szCs w:val="18"/>
              </w:rPr>
              <w:t>固态硬盘 ： 512GB SSD固态硬盘 SATA3.0接口  三年质保</w:t>
            </w:r>
          </w:p>
        </w:tc>
        <w:tc>
          <w:tcPr>
            <w:tcW w:w="1875" w:type="dxa"/>
          </w:tcPr>
          <w:p>
            <w:r>
              <w:rPr>
                <w:rFonts w:hint="eastAsia"/>
              </w:rPr>
              <w:t>老艺术楼315、316、317、515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821" w:type="dxa"/>
          </w:tcPr>
          <w:p>
            <w:pPr>
              <w:rPr>
                <w:rFonts w:ascii="黑体" w:hAnsi="黑体" w:eastAsia="黑体" w:cs="黑体"/>
                <w:bCs/>
                <w:szCs w:val="21"/>
              </w:rPr>
            </w:pPr>
            <w:r>
              <w:rPr>
                <w:rFonts w:ascii="黑体" w:hAnsi="黑体" w:eastAsia="黑体" w:cs="黑体"/>
                <w:bCs/>
                <w:szCs w:val="21"/>
              </w:rPr>
              <w:t>4</w:t>
            </w:r>
          </w:p>
        </w:tc>
        <w:tc>
          <w:tcPr>
            <w:tcW w:w="915" w:type="dxa"/>
          </w:tcPr>
          <w:p>
            <w:pPr>
              <w:rPr>
                <w:rFonts w:ascii="黑体" w:hAnsi="黑体" w:eastAsia="黑体" w:cs="黑体"/>
                <w:bCs/>
                <w:szCs w:val="21"/>
              </w:rPr>
            </w:pPr>
            <w:r>
              <w:rPr>
                <w:rFonts w:hint="eastAsia" w:ascii="黑体" w:hAnsi="黑体" w:eastAsia="黑体" w:cs="黑体"/>
                <w:bCs/>
                <w:szCs w:val="21"/>
              </w:rPr>
              <w:t>教学</w:t>
            </w:r>
            <w:r>
              <w:rPr>
                <w:rFonts w:ascii="黑体" w:hAnsi="黑体" w:eastAsia="黑体" w:cs="黑体"/>
                <w:bCs/>
                <w:szCs w:val="21"/>
              </w:rPr>
              <w:t>管理软件</w:t>
            </w:r>
          </w:p>
        </w:tc>
        <w:tc>
          <w:tcPr>
            <w:tcW w:w="765" w:type="dxa"/>
          </w:tcPr>
          <w:p>
            <w:pPr>
              <w:rPr>
                <w:rFonts w:ascii="黑体" w:hAnsi="黑体" w:eastAsia="黑体" w:cs="黑体"/>
                <w:bCs/>
                <w:szCs w:val="21"/>
              </w:rPr>
            </w:pPr>
            <w:r>
              <w:rPr>
                <w:rFonts w:hint="eastAsia" w:ascii="黑体" w:hAnsi="黑体" w:eastAsia="黑体" w:cs="黑体"/>
                <w:bCs/>
                <w:szCs w:val="21"/>
              </w:rPr>
              <w:t xml:space="preserve">4 </w:t>
            </w:r>
          </w:p>
        </w:tc>
        <w:tc>
          <w:tcPr>
            <w:tcW w:w="900" w:type="dxa"/>
          </w:tcPr>
          <w:p>
            <w:pPr>
              <w:rPr>
                <w:rFonts w:ascii="黑体" w:hAnsi="黑体" w:eastAsia="黑体" w:cs="黑体"/>
                <w:bCs/>
                <w:szCs w:val="21"/>
              </w:rPr>
            </w:pPr>
            <w:r>
              <w:rPr>
                <w:rFonts w:hint="eastAsia" w:ascii="黑体" w:hAnsi="黑体" w:eastAsia="黑体" w:cs="黑体"/>
                <w:bCs/>
                <w:szCs w:val="21"/>
              </w:rPr>
              <w:t>套</w:t>
            </w:r>
          </w:p>
        </w:tc>
        <w:tc>
          <w:tcPr>
            <w:tcW w:w="8715" w:type="dxa"/>
          </w:tcPr>
          <w:p>
            <w:pPr>
              <w:rPr>
                <w:rFonts w:ascii="黑体" w:hAnsi="黑体" w:eastAsia="黑体" w:cs="黑体"/>
                <w:bCs/>
                <w:sz w:val="18"/>
                <w:szCs w:val="18"/>
              </w:rPr>
            </w:pPr>
            <w:r>
              <w:rPr>
                <w:rFonts w:hint="eastAsia" w:ascii="黑体" w:hAnsi="黑体" w:eastAsia="黑体" w:cs="黑体"/>
                <w:bCs/>
                <w:sz w:val="18"/>
                <w:szCs w:val="18"/>
              </w:rPr>
              <w:t>基本要求：</w:t>
            </w:r>
          </w:p>
          <w:p>
            <w:pPr>
              <w:rPr>
                <w:rFonts w:ascii="黑体" w:hAnsi="黑体" w:eastAsia="黑体" w:cs="黑体"/>
                <w:bCs/>
                <w:sz w:val="18"/>
                <w:szCs w:val="18"/>
              </w:rPr>
            </w:pPr>
            <w:r>
              <w:rPr>
                <w:rFonts w:hint="eastAsia" w:ascii="黑体" w:hAnsi="黑体" w:eastAsia="黑体" w:cs="黑体"/>
                <w:bCs/>
                <w:sz w:val="18"/>
                <w:szCs w:val="18"/>
              </w:rPr>
              <w:t>1. 屏幕广播人性化图标提醒：在屏幕广播时候会在老师机屏幕上出现一个提示框，非常的人性化。</w:t>
            </w:r>
          </w:p>
          <w:p>
            <w:pPr>
              <w:rPr>
                <w:rFonts w:ascii="黑体" w:hAnsi="黑体" w:eastAsia="黑体" w:cs="黑体"/>
                <w:bCs/>
                <w:sz w:val="18"/>
                <w:szCs w:val="18"/>
              </w:rPr>
            </w:pPr>
            <w:r>
              <w:rPr>
                <w:rFonts w:hint="eastAsia" w:ascii="黑体" w:hAnsi="黑体" w:eastAsia="黑体" w:cs="黑体"/>
                <w:bCs/>
                <w:sz w:val="18"/>
                <w:szCs w:val="18"/>
              </w:rPr>
              <w:t>2. 可视对讲独有画中画。</w:t>
            </w:r>
          </w:p>
          <w:p>
            <w:pPr>
              <w:rPr>
                <w:rFonts w:ascii="黑体" w:hAnsi="黑体" w:eastAsia="黑体" w:cs="黑体"/>
                <w:bCs/>
                <w:sz w:val="18"/>
                <w:szCs w:val="18"/>
              </w:rPr>
            </w:pPr>
            <w:r>
              <w:rPr>
                <w:rFonts w:hint="eastAsia" w:ascii="黑体" w:hAnsi="黑体" w:eastAsia="黑体" w:cs="黑体"/>
                <w:bCs/>
                <w:sz w:val="18"/>
                <w:szCs w:val="18"/>
              </w:rPr>
              <w:t>3.屏幕广播完美支持OpenGL、DirectDraw、Direct3D 软件及大型游戏。4.一对一双向语音。</w:t>
            </w:r>
          </w:p>
          <w:p>
            <w:pPr>
              <w:rPr>
                <w:rFonts w:ascii="黑体" w:hAnsi="黑体" w:eastAsia="黑体" w:cs="黑体"/>
                <w:bCs/>
                <w:sz w:val="18"/>
                <w:szCs w:val="18"/>
              </w:rPr>
            </w:pPr>
            <w:r>
              <w:rPr>
                <w:rFonts w:hint="eastAsia" w:ascii="黑体" w:hAnsi="黑体" w:eastAsia="黑体" w:cs="黑体"/>
                <w:bCs/>
                <w:sz w:val="18"/>
                <w:szCs w:val="18"/>
              </w:rPr>
              <w:t>5.屏幕广播灰色图：屏幕广播参数设置加入了色深的设置。</w:t>
            </w:r>
          </w:p>
          <w:p>
            <w:pPr>
              <w:rPr>
                <w:rFonts w:ascii="黑体" w:hAnsi="黑体" w:eastAsia="黑体" w:cs="黑体"/>
                <w:bCs/>
                <w:sz w:val="18"/>
                <w:szCs w:val="18"/>
              </w:rPr>
            </w:pPr>
            <w:r>
              <w:rPr>
                <w:rFonts w:hint="eastAsia" w:ascii="黑体" w:hAnsi="黑体" w:eastAsia="黑体" w:cs="黑体"/>
                <w:bCs/>
                <w:sz w:val="18"/>
                <w:szCs w:val="18"/>
              </w:rPr>
              <w:t>6.全面支持WindowsWIN7、XP、2003、win8、win10等全系列系统。</w:t>
            </w:r>
          </w:p>
          <w:p>
            <w:pPr>
              <w:rPr>
                <w:rFonts w:ascii="黑体" w:hAnsi="黑体" w:eastAsia="黑体" w:cs="黑体"/>
                <w:bCs/>
                <w:sz w:val="18"/>
                <w:szCs w:val="18"/>
              </w:rPr>
            </w:pPr>
            <w:r>
              <w:rPr>
                <w:rFonts w:hint="eastAsia" w:ascii="黑体" w:hAnsi="黑体" w:eastAsia="黑体" w:cs="黑体"/>
                <w:bCs/>
                <w:sz w:val="18"/>
                <w:szCs w:val="18"/>
              </w:rPr>
              <w:t>7.防杀进程：可以防止学生通过任务管理器去杀掉学生机程序进程。</w:t>
            </w:r>
          </w:p>
          <w:p>
            <w:pPr>
              <w:rPr>
                <w:rFonts w:ascii="黑体" w:hAnsi="黑体" w:eastAsia="黑体" w:cs="黑体"/>
                <w:bCs/>
                <w:sz w:val="18"/>
                <w:szCs w:val="18"/>
              </w:rPr>
            </w:pPr>
            <w:r>
              <w:rPr>
                <w:rFonts w:hint="eastAsia" w:ascii="黑体" w:hAnsi="黑体" w:eastAsia="黑体" w:cs="黑体"/>
                <w:bCs/>
                <w:sz w:val="18"/>
                <w:szCs w:val="18"/>
              </w:rPr>
              <w:t>8.电子白板：用来辅助教师在进行教学指导。</w:t>
            </w:r>
          </w:p>
          <w:p>
            <w:pPr>
              <w:rPr>
                <w:rFonts w:ascii="黑体" w:hAnsi="黑体" w:eastAsia="黑体" w:cs="黑体"/>
                <w:bCs/>
                <w:sz w:val="18"/>
                <w:szCs w:val="18"/>
              </w:rPr>
            </w:pPr>
            <w:r>
              <w:rPr>
                <w:rFonts w:hint="eastAsia" w:ascii="黑体" w:hAnsi="黑体" w:eastAsia="黑体" w:cs="黑体"/>
                <w:bCs/>
                <w:sz w:val="18"/>
                <w:szCs w:val="18"/>
              </w:rPr>
              <w:t>9.应用程序白名单</w:t>
            </w:r>
          </w:p>
          <w:p>
            <w:pPr>
              <w:rPr>
                <w:rFonts w:ascii="黑体" w:hAnsi="黑体" w:eastAsia="黑体" w:cs="黑体"/>
                <w:bCs/>
                <w:sz w:val="18"/>
                <w:szCs w:val="18"/>
              </w:rPr>
            </w:pPr>
            <w:r>
              <w:rPr>
                <w:rFonts w:hint="eastAsia" w:ascii="黑体" w:hAnsi="黑体" w:eastAsia="黑体" w:cs="黑体"/>
                <w:bCs/>
                <w:sz w:val="18"/>
                <w:szCs w:val="18"/>
              </w:rPr>
              <w:t>10. 课堂测试：老师可使用图形化工具编辑并预览多种类型的问题，如判断题、选择题和问答题等，并可向所选的学生进行提问。</w:t>
            </w:r>
          </w:p>
          <w:p>
            <w:pPr>
              <w:rPr>
                <w:rFonts w:ascii="黑体" w:hAnsi="黑体" w:eastAsia="黑体" w:cs="黑体"/>
                <w:bCs/>
                <w:sz w:val="18"/>
                <w:szCs w:val="18"/>
              </w:rPr>
            </w:pPr>
            <w:r>
              <w:rPr>
                <w:rFonts w:hint="eastAsia" w:ascii="黑体" w:hAnsi="黑体" w:eastAsia="黑体" w:cs="黑体"/>
                <w:bCs/>
                <w:sz w:val="18"/>
                <w:szCs w:val="18"/>
              </w:rPr>
              <w:t>11. 即时测验：老师可编辑一张电子试卷并分发到学生机进行测验。</w:t>
            </w:r>
          </w:p>
          <w:p>
            <w:pPr>
              <w:rPr>
                <w:rFonts w:ascii="黑体" w:hAnsi="黑体" w:eastAsia="黑体" w:cs="黑体"/>
                <w:bCs/>
                <w:sz w:val="18"/>
                <w:szCs w:val="18"/>
              </w:rPr>
            </w:pPr>
            <w:r>
              <w:rPr>
                <w:rFonts w:hint="eastAsia" w:ascii="黑体" w:hAnsi="黑体" w:eastAsia="黑体" w:cs="黑体"/>
                <w:bCs/>
                <w:sz w:val="18"/>
                <w:szCs w:val="18"/>
              </w:rPr>
              <w:t>12. 语音教学：语音教学功能可以将教师机麦克风（或其他输入设备）的声音传送到单一、部分或全体学生机，可实现教师一对一，一对多的英语语音教学。</w:t>
            </w:r>
          </w:p>
          <w:p>
            <w:pPr>
              <w:rPr>
                <w:rFonts w:ascii="黑体" w:hAnsi="黑体" w:eastAsia="黑体" w:cs="黑体"/>
                <w:bCs/>
                <w:sz w:val="18"/>
                <w:szCs w:val="18"/>
              </w:rPr>
            </w:pPr>
            <w:r>
              <w:rPr>
                <w:rFonts w:hint="eastAsia" w:ascii="黑体" w:hAnsi="黑体" w:eastAsia="黑体" w:cs="黑体"/>
                <w:bCs/>
                <w:sz w:val="18"/>
                <w:szCs w:val="18"/>
              </w:rPr>
              <w:t>13. 可视对讲：教师可以选择任意一名学生与其进行双向语音、视频单独交谈。</w:t>
            </w:r>
          </w:p>
          <w:p>
            <w:pPr>
              <w:rPr>
                <w:rFonts w:ascii="黑体" w:hAnsi="黑体" w:eastAsia="黑体" w:cs="黑体"/>
                <w:bCs/>
                <w:sz w:val="18"/>
                <w:szCs w:val="18"/>
              </w:rPr>
            </w:pPr>
            <w:r>
              <w:rPr>
                <w:rFonts w:hint="eastAsia" w:ascii="黑体" w:hAnsi="黑体" w:eastAsia="黑体" w:cs="黑体"/>
                <w:bCs/>
                <w:sz w:val="18"/>
                <w:szCs w:val="18"/>
              </w:rPr>
              <w:t>14. 学生演示：教师指定的学生暂时代替教师进行教学示范。</w:t>
            </w:r>
          </w:p>
          <w:p>
            <w:pPr>
              <w:rPr>
                <w:rFonts w:ascii="黑体" w:hAnsi="黑体" w:eastAsia="黑体" w:cs="黑体"/>
                <w:bCs/>
                <w:sz w:val="18"/>
                <w:szCs w:val="18"/>
              </w:rPr>
            </w:pPr>
            <w:r>
              <w:rPr>
                <w:rFonts w:hint="eastAsia" w:ascii="黑体" w:hAnsi="黑体" w:eastAsia="黑体" w:cs="黑体"/>
                <w:bCs/>
                <w:sz w:val="18"/>
                <w:szCs w:val="18"/>
              </w:rPr>
              <w:t>15. 遥控转播：教师将指定的学生机的屏幕及操作过程转播给其他学生观看，教师也可以远程操作被转播的学生的机器。</w:t>
            </w:r>
          </w:p>
          <w:p>
            <w:pPr>
              <w:rPr>
                <w:rFonts w:ascii="黑体" w:hAnsi="黑体" w:eastAsia="黑体" w:cs="黑体"/>
                <w:bCs/>
                <w:sz w:val="18"/>
                <w:szCs w:val="18"/>
              </w:rPr>
            </w:pPr>
            <w:r>
              <w:rPr>
                <w:rFonts w:hint="eastAsia" w:ascii="黑体" w:hAnsi="黑体" w:eastAsia="黑体" w:cs="黑体"/>
                <w:bCs/>
                <w:sz w:val="18"/>
                <w:szCs w:val="18"/>
              </w:rPr>
              <w:t>16. 屏幕录制：教师机可以将本机的操作过程、讲解录制为一个文件，供教师反复使用，以后通过屏幕回放功能进行回放。</w:t>
            </w:r>
          </w:p>
          <w:p>
            <w:pPr>
              <w:rPr>
                <w:rFonts w:ascii="黑体" w:hAnsi="黑体" w:eastAsia="黑体" w:cs="黑体"/>
                <w:bCs/>
                <w:sz w:val="18"/>
                <w:szCs w:val="18"/>
              </w:rPr>
            </w:pPr>
            <w:r>
              <w:rPr>
                <w:rFonts w:hint="eastAsia" w:ascii="黑体" w:hAnsi="黑体" w:eastAsia="黑体" w:cs="黑体"/>
                <w:bCs/>
                <w:sz w:val="18"/>
                <w:szCs w:val="18"/>
              </w:rPr>
              <w:t>17. 屏幕回放：教师机可以将屏幕录制的文件进行回放，回放的内容可以通过屏幕广播给学生。</w:t>
            </w:r>
          </w:p>
          <w:p>
            <w:pPr>
              <w:rPr>
                <w:rFonts w:ascii="黑体" w:hAnsi="黑体" w:eastAsia="黑体" w:cs="黑体"/>
                <w:bCs/>
                <w:sz w:val="18"/>
                <w:szCs w:val="18"/>
              </w:rPr>
            </w:pPr>
            <w:r>
              <w:rPr>
                <w:rFonts w:hint="eastAsia" w:ascii="黑体" w:hAnsi="黑体" w:eastAsia="黑体" w:cs="黑体"/>
                <w:bCs/>
                <w:sz w:val="18"/>
                <w:szCs w:val="18"/>
              </w:rPr>
              <w:t>18. 黑屏肃静：教师可以对单一、部分、全体学生执行黑屏，并锁定其键盘、鼠标，禁止其进行任何操作。</w:t>
            </w:r>
          </w:p>
          <w:p>
            <w:pPr>
              <w:rPr>
                <w:rFonts w:hint="eastAsia" w:ascii="黑体" w:hAnsi="黑体" w:eastAsia="黑体" w:cs="黑体"/>
                <w:bCs/>
                <w:sz w:val="18"/>
                <w:szCs w:val="18"/>
              </w:rPr>
            </w:pPr>
            <w:r>
              <w:rPr>
                <w:rFonts w:hint="eastAsia" w:ascii="黑体" w:hAnsi="黑体" w:eastAsia="黑体" w:cs="黑体"/>
                <w:bCs/>
                <w:sz w:val="18"/>
                <w:szCs w:val="18"/>
              </w:rPr>
              <w:t>19. 网络影院：使教师在学生与教师上同步播映视频文件。电子点名。</w:t>
            </w:r>
          </w:p>
          <w:p>
            <w:pPr>
              <w:rPr>
                <w:rFonts w:ascii="黑体" w:hAnsi="黑体" w:eastAsia="黑体" w:cs="黑体"/>
                <w:bCs/>
                <w:sz w:val="18"/>
                <w:szCs w:val="18"/>
              </w:rPr>
            </w:pPr>
            <w:r>
              <w:rPr>
                <w:rFonts w:hint="eastAsia" w:ascii="黑体" w:hAnsi="黑体" w:eastAsia="黑体" w:cs="黑体"/>
                <w:bCs/>
                <w:sz w:val="18"/>
                <w:szCs w:val="18"/>
              </w:rPr>
              <w:t>20. 分组教学：由教师分派组长对组员执行指定的教学功能。</w:t>
            </w:r>
          </w:p>
          <w:p>
            <w:pPr>
              <w:rPr>
                <w:rFonts w:ascii="黑体" w:hAnsi="黑体" w:eastAsia="黑体" w:cs="黑体"/>
                <w:bCs/>
                <w:sz w:val="18"/>
                <w:szCs w:val="18"/>
              </w:rPr>
            </w:pPr>
            <w:r>
              <w:rPr>
                <w:rFonts w:hint="eastAsia" w:ascii="黑体" w:hAnsi="黑体" w:eastAsia="黑体" w:cs="黑体"/>
                <w:bCs/>
                <w:sz w:val="18"/>
                <w:szCs w:val="18"/>
              </w:rPr>
              <w:t>21. 电子抢答：教师可以通过“电子抢答”的功能来达到让学生抢答的目的。</w:t>
            </w:r>
          </w:p>
          <w:p>
            <w:pPr>
              <w:rPr>
                <w:rFonts w:ascii="黑体" w:hAnsi="黑体" w:eastAsia="黑体" w:cs="黑体"/>
                <w:bCs/>
                <w:sz w:val="18"/>
                <w:szCs w:val="18"/>
              </w:rPr>
            </w:pPr>
            <w:r>
              <w:rPr>
                <w:rFonts w:hint="eastAsia" w:ascii="黑体" w:hAnsi="黑体" w:eastAsia="黑体" w:cs="黑体"/>
                <w:bCs/>
                <w:sz w:val="18"/>
                <w:szCs w:val="18"/>
              </w:rPr>
              <w:t>22. 班级模型：自动建立班级模型，并可以保存、供下次调用。</w:t>
            </w:r>
          </w:p>
          <w:p>
            <w:pPr>
              <w:rPr>
                <w:rFonts w:ascii="黑体" w:hAnsi="黑体" w:eastAsia="黑体" w:cs="黑体"/>
                <w:bCs/>
                <w:sz w:val="18"/>
                <w:szCs w:val="18"/>
              </w:rPr>
            </w:pPr>
            <w:r>
              <w:rPr>
                <w:rFonts w:hint="eastAsia" w:ascii="黑体" w:hAnsi="黑体" w:eastAsia="黑体" w:cs="黑体"/>
                <w:bCs/>
                <w:sz w:val="18"/>
                <w:szCs w:val="18"/>
              </w:rPr>
              <w:t>23. 系统设置：系统设置包含网络、视频、音频设置等设置。</w:t>
            </w:r>
          </w:p>
          <w:p>
            <w:pPr>
              <w:rPr>
                <w:rFonts w:ascii="黑体" w:hAnsi="黑体" w:eastAsia="黑体" w:cs="黑体"/>
                <w:bCs/>
                <w:sz w:val="18"/>
                <w:szCs w:val="18"/>
              </w:rPr>
            </w:pPr>
            <w:r>
              <w:rPr>
                <w:rFonts w:hint="eastAsia" w:ascii="黑体" w:hAnsi="黑体" w:eastAsia="黑体" w:cs="黑体"/>
                <w:bCs/>
                <w:sz w:val="18"/>
                <w:szCs w:val="18"/>
              </w:rPr>
              <w:t>24. 远程命令：远程命令功能允许教师远程运行、关闭学生机上的应用软件，可以新建、修改、删除命令。</w:t>
            </w:r>
          </w:p>
          <w:p>
            <w:pPr>
              <w:rPr>
                <w:rFonts w:ascii="黑体" w:hAnsi="黑体" w:eastAsia="黑体" w:cs="黑体"/>
                <w:bCs/>
                <w:sz w:val="18"/>
                <w:szCs w:val="18"/>
              </w:rPr>
            </w:pPr>
            <w:r>
              <w:rPr>
                <w:rFonts w:hint="eastAsia" w:ascii="黑体" w:hAnsi="黑体" w:eastAsia="黑体" w:cs="黑体"/>
                <w:bCs/>
                <w:sz w:val="18"/>
                <w:szCs w:val="18"/>
              </w:rPr>
              <w:t>25. 远程设置：教师可对学生机的操作系统进行远程设置，甚至禁用操作系统的某些功能，以达到教学管理的目的。</w:t>
            </w:r>
          </w:p>
          <w:p>
            <w:pPr>
              <w:rPr>
                <w:rFonts w:ascii="黑体" w:hAnsi="黑体" w:eastAsia="黑体" w:cs="黑体"/>
                <w:bCs/>
                <w:sz w:val="18"/>
                <w:szCs w:val="18"/>
              </w:rPr>
            </w:pPr>
            <w:r>
              <w:rPr>
                <w:rFonts w:hint="eastAsia" w:ascii="黑体" w:hAnsi="黑体" w:eastAsia="黑体" w:cs="黑体"/>
                <w:bCs/>
                <w:sz w:val="18"/>
                <w:szCs w:val="18"/>
              </w:rPr>
              <w:t>26. 远程消息：教师可以与学生进行互相交谈。每位教师或学生的发言都会记录在远程消息框中。消息框中还会显示学生机的登录、退出以及举手情况。</w:t>
            </w:r>
          </w:p>
          <w:p>
            <w:pPr>
              <w:rPr>
                <w:rFonts w:ascii="黑体" w:hAnsi="黑体" w:eastAsia="黑体" w:cs="黑体"/>
                <w:bCs/>
                <w:sz w:val="18"/>
                <w:szCs w:val="18"/>
              </w:rPr>
            </w:pPr>
            <w:r>
              <w:rPr>
                <w:rFonts w:hint="eastAsia" w:ascii="黑体" w:hAnsi="黑体" w:eastAsia="黑体" w:cs="黑体"/>
                <w:bCs/>
                <w:sz w:val="18"/>
                <w:szCs w:val="18"/>
              </w:rPr>
              <w:t>27. 清除未登录学生机。</w:t>
            </w:r>
          </w:p>
          <w:p>
            <w:pPr>
              <w:rPr>
                <w:rFonts w:ascii="黑体" w:hAnsi="黑体" w:eastAsia="黑体" w:cs="黑体"/>
                <w:bCs/>
                <w:sz w:val="18"/>
                <w:szCs w:val="18"/>
              </w:rPr>
            </w:pPr>
            <w:r>
              <w:rPr>
                <w:rFonts w:hint="eastAsia" w:ascii="黑体" w:hAnsi="黑体" w:eastAsia="黑体" w:cs="黑体"/>
                <w:bCs/>
                <w:sz w:val="18"/>
                <w:szCs w:val="18"/>
              </w:rPr>
              <w:t>28. 查看学生属性。</w:t>
            </w:r>
          </w:p>
          <w:p>
            <w:pPr>
              <w:rPr>
                <w:rFonts w:ascii="黑体" w:hAnsi="黑体" w:eastAsia="黑体" w:cs="黑体"/>
                <w:bCs/>
                <w:sz w:val="18"/>
                <w:szCs w:val="18"/>
              </w:rPr>
            </w:pPr>
            <w:r>
              <w:rPr>
                <w:rFonts w:hint="eastAsia" w:ascii="黑体" w:hAnsi="黑体" w:eastAsia="黑体" w:cs="黑体"/>
                <w:bCs/>
                <w:sz w:val="18"/>
                <w:szCs w:val="18"/>
              </w:rPr>
              <w:t>29. 设备锁定：老师机可将选定的学生机的软驱、光驱、USB存储器锁定，禁止学生使用。</w:t>
            </w:r>
          </w:p>
          <w:p>
            <w:pPr>
              <w:rPr>
                <w:rFonts w:ascii="黑体" w:hAnsi="黑体" w:eastAsia="黑体" w:cs="黑体"/>
                <w:bCs/>
                <w:sz w:val="18"/>
                <w:szCs w:val="18"/>
              </w:rPr>
            </w:pPr>
            <w:r>
              <w:rPr>
                <w:rFonts w:hint="eastAsia" w:ascii="黑体" w:hAnsi="黑体" w:eastAsia="黑体" w:cs="黑体"/>
                <w:bCs/>
                <w:sz w:val="18"/>
                <w:szCs w:val="18"/>
              </w:rPr>
              <w:t>30. 可选窗口显示模式。</w:t>
            </w:r>
          </w:p>
          <w:p>
            <w:r>
              <w:rPr>
                <w:rFonts w:hint="eastAsia" w:ascii="黑体" w:hAnsi="黑体" w:eastAsia="黑体" w:cs="黑体"/>
                <w:bCs/>
                <w:sz w:val="18"/>
                <w:szCs w:val="18"/>
              </w:rPr>
              <w:t>31. 收发文件 方便快捷高效的向学生端发送文件，收集学生端的文件。提供点对点和组播两种方式。</w:t>
            </w:r>
          </w:p>
        </w:tc>
        <w:tc>
          <w:tcPr>
            <w:tcW w:w="1875" w:type="dxa"/>
          </w:tcPr>
          <w:p>
            <w:r>
              <w:rPr>
                <w:rFonts w:hint="eastAsia"/>
              </w:rPr>
              <w:t>老艺术楼315、316、317、515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821" w:type="dxa"/>
          </w:tcPr>
          <w:p>
            <w:r>
              <w:t>5</w:t>
            </w:r>
          </w:p>
        </w:tc>
        <w:tc>
          <w:tcPr>
            <w:tcW w:w="915" w:type="dxa"/>
          </w:tcPr>
          <w:p>
            <w:r>
              <w:rPr>
                <w:rFonts w:hint="eastAsia"/>
              </w:rPr>
              <w:t>网络维修</w:t>
            </w:r>
          </w:p>
        </w:tc>
        <w:tc>
          <w:tcPr>
            <w:tcW w:w="765" w:type="dxa"/>
          </w:tcPr>
          <w:p>
            <w:r>
              <w:t>4</w:t>
            </w:r>
          </w:p>
        </w:tc>
        <w:tc>
          <w:tcPr>
            <w:tcW w:w="900" w:type="dxa"/>
          </w:tcPr>
          <w:p>
            <w:r>
              <w:rPr>
                <w:rFonts w:hint="eastAsia"/>
              </w:rPr>
              <w:t>间</w:t>
            </w:r>
          </w:p>
        </w:tc>
        <w:tc>
          <w:tcPr>
            <w:tcW w:w="8715" w:type="dxa"/>
          </w:tcPr>
          <w:p>
            <w:pPr>
              <w:rPr>
                <w:rFonts w:hint="eastAsia" w:ascii="黑体" w:hAnsi="黑体" w:eastAsia="黑体" w:cs="黑体"/>
                <w:bCs/>
                <w:sz w:val="18"/>
                <w:szCs w:val="18"/>
              </w:rPr>
            </w:pPr>
            <w:r>
              <w:rPr>
                <w:rFonts w:hint="eastAsia" w:ascii="黑体" w:hAnsi="黑体" w:eastAsia="黑体" w:cs="黑体"/>
                <w:bCs/>
                <w:sz w:val="18"/>
                <w:szCs w:val="18"/>
              </w:rPr>
              <w:t>针对学校千兆交换机，出现百兆网的状况，初步判断是水晶头跳线错误，导致网络未达到千兆的效果，为改善网络状况，每根网线重新打标签，重新做水晶头，百兆网升级到千兆。</w:t>
            </w:r>
          </w:p>
          <w:p>
            <w:pPr>
              <w:rPr>
                <w:rFonts w:hint="default" w:ascii="黑体" w:hAnsi="黑体" w:eastAsia="黑体" w:cs="黑体"/>
                <w:bCs/>
                <w:sz w:val="18"/>
                <w:szCs w:val="18"/>
                <w:lang w:val="en-US" w:eastAsia="zh-CN"/>
              </w:rPr>
            </w:pPr>
            <w:r>
              <w:rPr>
                <w:rFonts w:hint="eastAsia" w:ascii="黑体" w:hAnsi="黑体" w:eastAsia="黑体" w:cs="黑体"/>
                <w:bCs/>
                <w:color w:val="auto"/>
                <w:sz w:val="18"/>
                <w:szCs w:val="18"/>
                <w:lang w:eastAsia="zh-CN"/>
              </w:rPr>
              <w:t>请应标单位勘查现场，明确施工方案。</w:t>
            </w:r>
          </w:p>
        </w:tc>
        <w:tc>
          <w:tcPr>
            <w:tcW w:w="1875" w:type="dxa"/>
          </w:tcPr>
          <w:p>
            <w:r>
              <w:rPr>
                <w:rFonts w:hint="eastAsia"/>
              </w:rPr>
              <w:t>老艺术楼315、316、317、515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821" w:type="dxa"/>
          </w:tcPr>
          <w:p>
            <w:pPr>
              <w:rPr>
                <w:rFonts w:hint="eastAsia" w:eastAsiaTheme="minorEastAsia"/>
                <w:lang w:val="en-US" w:eastAsia="zh-CN"/>
              </w:rPr>
            </w:pPr>
            <w:r>
              <w:rPr>
                <w:rFonts w:hint="eastAsia"/>
                <w:lang w:val="en-US" w:eastAsia="zh-CN"/>
              </w:rPr>
              <w:t>6</w:t>
            </w:r>
          </w:p>
        </w:tc>
        <w:tc>
          <w:tcPr>
            <w:tcW w:w="915" w:type="dxa"/>
          </w:tcPr>
          <w:p>
            <w:pPr>
              <w:rPr>
                <w:rFonts w:hint="eastAsia" w:eastAsiaTheme="minorEastAsia"/>
                <w:lang w:val="en-US" w:eastAsia="zh-CN"/>
              </w:rPr>
            </w:pPr>
            <w:r>
              <w:rPr>
                <w:rFonts w:hint="eastAsia"/>
                <w:lang w:val="en-US" w:eastAsia="zh-CN"/>
              </w:rPr>
              <w:t>文化墙</w:t>
            </w:r>
          </w:p>
        </w:tc>
        <w:tc>
          <w:tcPr>
            <w:tcW w:w="765" w:type="dxa"/>
          </w:tcPr>
          <w:p>
            <w:pPr>
              <w:rPr>
                <w:rFonts w:hint="eastAsia" w:eastAsiaTheme="minorEastAsia"/>
                <w:lang w:val="en-US" w:eastAsia="zh-CN"/>
              </w:rPr>
            </w:pPr>
            <w:r>
              <w:rPr>
                <w:rFonts w:hint="eastAsia"/>
                <w:lang w:val="en-US" w:eastAsia="zh-CN"/>
              </w:rPr>
              <w:t>1</w:t>
            </w:r>
          </w:p>
        </w:tc>
        <w:tc>
          <w:tcPr>
            <w:tcW w:w="900" w:type="dxa"/>
          </w:tcPr>
          <w:p>
            <w:pPr>
              <w:rPr>
                <w:rFonts w:hint="eastAsia" w:eastAsiaTheme="minorEastAsia"/>
                <w:lang w:val="en-US" w:eastAsia="zh-CN"/>
              </w:rPr>
            </w:pPr>
            <w:r>
              <w:rPr>
                <w:rFonts w:hint="eastAsia"/>
                <w:lang w:val="en-US" w:eastAsia="zh-CN"/>
              </w:rPr>
              <w:t>套</w:t>
            </w:r>
          </w:p>
        </w:tc>
        <w:tc>
          <w:tcPr>
            <w:tcW w:w="8715" w:type="dxa"/>
          </w:tcPr>
          <w:p>
            <w:pPr>
              <w:rPr>
                <w:rFonts w:hint="default" w:ascii="黑体" w:hAnsi="黑体" w:eastAsia="黑体" w:cs="黑体"/>
                <w:bCs/>
                <w:color w:val="auto"/>
                <w:sz w:val="18"/>
                <w:szCs w:val="18"/>
                <w:lang w:val="en-US" w:eastAsia="zh-CN"/>
              </w:rPr>
            </w:pPr>
            <w:r>
              <w:rPr>
                <w:rFonts w:hint="eastAsia" w:ascii="黑体" w:hAnsi="黑体" w:eastAsia="黑体" w:cs="黑体"/>
                <w:bCs/>
                <w:color w:val="auto"/>
                <w:sz w:val="18"/>
                <w:szCs w:val="18"/>
                <w:lang w:val="en-US" w:eastAsia="zh-CN"/>
              </w:rPr>
              <w:t>制度上墙</w:t>
            </w:r>
          </w:p>
        </w:tc>
        <w:tc>
          <w:tcPr>
            <w:tcW w:w="1875" w:type="dxa"/>
          </w:tcPr>
          <w:p>
            <w:pPr>
              <w:rPr>
                <w:rFonts w:hint="eastAsia"/>
              </w:rPr>
            </w:pPr>
            <w:r>
              <w:rPr>
                <w:rFonts w:hint="eastAsia"/>
              </w:rPr>
              <w:t>老艺术楼315、316、317、515</w:t>
            </w:r>
            <w:bookmarkStart w:id="0" w:name="_GoBack"/>
            <w:bookmarkEnd w:id="0"/>
          </w:p>
        </w:tc>
      </w:tr>
    </w:tbl>
    <w:p>
      <w:pPr>
        <w:rPr>
          <w:rFonts w:ascii="黑体" w:hAnsi="黑体" w:eastAsia="黑体" w:cs="黑体"/>
          <w:bCs/>
          <w:sz w:val="32"/>
          <w:szCs w:val="32"/>
        </w:rPr>
      </w:pPr>
    </w:p>
    <w:sectPr>
      <w:pgSz w:w="16838" w:h="11906" w:orient="landscape"/>
      <w:pgMar w:top="1587" w:right="1474" w:bottom="1474"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Q1OTdhYjc3ZDhmYzQyZjNkMmIyZTM3N2UzNzY2MWUifQ=="/>
  </w:docVars>
  <w:rsids>
    <w:rsidRoot w:val="749C1F38"/>
    <w:rsid w:val="00001619"/>
    <w:rsid w:val="00002DF8"/>
    <w:rsid w:val="00006E72"/>
    <w:rsid w:val="000200DB"/>
    <w:rsid w:val="0003786F"/>
    <w:rsid w:val="00056E24"/>
    <w:rsid w:val="00070D52"/>
    <w:rsid w:val="0008719C"/>
    <w:rsid w:val="000A48FC"/>
    <w:rsid w:val="000A7145"/>
    <w:rsid w:val="000B0375"/>
    <w:rsid w:val="000B156A"/>
    <w:rsid w:val="000B2939"/>
    <w:rsid w:val="000B3372"/>
    <w:rsid w:val="000B7140"/>
    <w:rsid w:val="000C20FF"/>
    <w:rsid w:val="000C68AD"/>
    <w:rsid w:val="000D0778"/>
    <w:rsid w:val="000D1E18"/>
    <w:rsid w:val="000E3253"/>
    <w:rsid w:val="000E44E6"/>
    <w:rsid w:val="00120B29"/>
    <w:rsid w:val="001367C8"/>
    <w:rsid w:val="00137C05"/>
    <w:rsid w:val="00141FC3"/>
    <w:rsid w:val="001428E8"/>
    <w:rsid w:val="0016670D"/>
    <w:rsid w:val="001817F5"/>
    <w:rsid w:val="001849B7"/>
    <w:rsid w:val="00186D62"/>
    <w:rsid w:val="00187258"/>
    <w:rsid w:val="001941F0"/>
    <w:rsid w:val="00194A07"/>
    <w:rsid w:val="001A23F3"/>
    <w:rsid w:val="001B404A"/>
    <w:rsid w:val="001B5615"/>
    <w:rsid w:val="001D4A1A"/>
    <w:rsid w:val="001D6860"/>
    <w:rsid w:val="001E2301"/>
    <w:rsid w:val="001F004F"/>
    <w:rsid w:val="001F10DB"/>
    <w:rsid w:val="001F186A"/>
    <w:rsid w:val="001F2B15"/>
    <w:rsid w:val="001F635C"/>
    <w:rsid w:val="00200E99"/>
    <w:rsid w:val="00204678"/>
    <w:rsid w:val="0020568F"/>
    <w:rsid w:val="00205A2C"/>
    <w:rsid w:val="00207FEC"/>
    <w:rsid w:val="00214824"/>
    <w:rsid w:val="002200CF"/>
    <w:rsid w:val="00227EA5"/>
    <w:rsid w:val="0023355A"/>
    <w:rsid w:val="002403D8"/>
    <w:rsid w:val="00245CE2"/>
    <w:rsid w:val="00251752"/>
    <w:rsid w:val="0025451B"/>
    <w:rsid w:val="00264B39"/>
    <w:rsid w:val="00267533"/>
    <w:rsid w:val="002729A0"/>
    <w:rsid w:val="00275856"/>
    <w:rsid w:val="00281BB6"/>
    <w:rsid w:val="0028248C"/>
    <w:rsid w:val="00285AB2"/>
    <w:rsid w:val="00285BCB"/>
    <w:rsid w:val="002A15B7"/>
    <w:rsid w:val="002B455C"/>
    <w:rsid w:val="002D2700"/>
    <w:rsid w:val="002E3D6D"/>
    <w:rsid w:val="002E486B"/>
    <w:rsid w:val="002F47EF"/>
    <w:rsid w:val="002F7D58"/>
    <w:rsid w:val="00303A28"/>
    <w:rsid w:val="003061B2"/>
    <w:rsid w:val="00314998"/>
    <w:rsid w:val="0031638B"/>
    <w:rsid w:val="0032172A"/>
    <w:rsid w:val="003226F5"/>
    <w:rsid w:val="00324BD7"/>
    <w:rsid w:val="003541E2"/>
    <w:rsid w:val="0035551D"/>
    <w:rsid w:val="003659A0"/>
    <w:rsid w:val="00375912"/>
    <w:rsid w:val="00386658"/>
    <w:rsid w:val="00390941"/>
    <w:rsid w:val="003A3A72"/>
    <w:rsid w:val="003C0D3D"/>
    <w:rsid w:val="003C7391"/>
    <w:rsid w:val="003C7501"/>
    <w:rsid w:val="003D0EF5"/>
    <w:rsid w:val="003E64E3"/>
    <w:rsid w:val="003E775C"/>
    <w:rsid w:val="003F5245"/>
    <w:rsid w:val="004006B0"/>
    <w:rsid w:val="00414581"/>
    <w:rsid w:val="00426133"/>
    <w:rsid w:val="004266C2"/>
    <w:rsid w:val="00434F32"/>
    <w:rsid w:val="004435DB"/>
    <w:rsid w:val="0044440F"/>
    <w:rsid w:val="004477A8"/>
    <w:rsid w:val="00456FA2"/>
    <w:rsid w:val="00465638"/>
    <w:rsid w:val="00465CDF"/>
    <w:rsid w:val="00470262"/>
    <w:rsid w:val="00473297"/>
    <w:rsid w:val="00483749"/>
    <w:rsid w:val="00483CDB"/>
    <w:rsid w:val="004853D8"/>
    <w:rsid w:val="0049226F"/>
    <w:rsid w:val="004969CB"/>
    <w:rsid w:val="004B17A9"/>
    <w:rsid w:val="004C310D"/>
    <w:rsid w:val="004C6AB1"/>
    <w:rsid w:val="004D5BDC"/>
    <w:rsid w:val="004D6531"/>
    <w:rsid w:val="004D659C"/>
    <w:rsid w:val="004E28C3"/>
    <w:rsid w:val="004E6A61"/>
    <w:rsid w:val="00502BA5"/>
    <w:rsid w:val="00507508"/>
    <w:rsid w:val="00521821"/>
    <w:rsid w:val="00540FF1"/>
    <w:rsid w:val="00545F8E"/>
    <w:rsid w:val="00546845"/>
    <w:rsid w:val="00550DA6"/>
    <w:rsid w:val="00552F4D"/>
    <w:rsid w:val="0055791F"/>
    <w:rsid w:val="005707A9"/>
    <w:rsid w:val="00571413"/>
    <w:rsid w:val="0057222A"/>
    <w:rsid w:val="0057258F"/>
    <w:rsid w:val="00577A6E"/>
    <w:rsid w:val="005813CE"/>
    <w:rsid w:val="00583241"/>
    <w:rsid w:val="00584B21"/>
    <w:rsid w:val="0059308C"/>
    <w:rsid w:val="0059698F"/>
    <w:rsid w:val="005B3FB1"/>
    <w:rsid w:val="005B75A0"/>
    <w:rsid w:val="005C24E6"/>
    <w:rsid w:val="005C6107"/>
    <w:rsid w:val="005D6B61"/>
    <w:rsid w:val="005D6F16"/>
    <w:rsid w:val="005E567D"/>
    <w:rsid w:val="00601758"/>
    <w:rsid w:val="0060363F"/>
    <w:rsid w:val="00607346"/>
    <w:rsid w:val="0061055C"/>
    <w:rsid w:val="00615920"/>
    <w:rsid w:val="006210AD"/>
    <w:rsid w:val="00624CCB"/>
    <w:rsid w:val="006261B8"/>
    <w:rsid w:val="006268D5"/>
    <w:rsid w:val="006323FB"/>
    <w:rsid w:val="00634138"/>
    <w:rsid w:val="00641F76"/>
    <w:rsid w:val="006449B0"/>
    <w:rsid w:val="00650F8C"/>
    <w:rsid w:val="00651F2E"/>
    <w:rsid w:val="00656EDF"/>
    <w:rsid w:val="00662656"/>
    <w:rsid w:val="00682D77"/>
    <w:rsid w:val="00692EDD"/>
    <w:rsid w:val="0069317F"/>
    <w:rsid w:val="00694D09"/>
    <w:rsid w:val="006A2AAE"/>
    <w:rsid w:val="006A5BFF"/>
    <w:rsid w:val="006B2A5A"/>
    <w:rsid w:val="006B3E08"/>
    <w:rsid w:val="006B4528"/>
    <w:rsid w:val="006B7C16"/>
    <w:rsid w:val="006C000F"/>
    <w:rsid w:val="006C2F5A"/>
    <w:rsid w:val="006C35D8"/>
    <w:rsid w:val="006D5C1C"/>
    <w:rsid w:val="006D6875"/>
    <w:rsid w:val="006F33E2"/>
    <w:rsid w:val="007026D1"/>
    <w:rsid w:val="007062D2"/>
    <w:rsid w:val="0071025A"/>
    <w:rsid w:val="0071115B"/>
    <w:rsid w:val="007141BD"/>
    <w:rsid w:val="00720131"/>
    <w:rsid w:val="00721782"/>
    <w:rsid w:val="00722223"/>
    <w:rsid w:val="0072287C"/>
    <w:rsid w:val="00725640"/>
    <w:rsid w:val="00735511"/>
    <w:rsid w:val="00741930"/>
    <w:rsid w:val="00744D4F"/>
    <w:rsid w:val="00747CDE"/>
    <w:rsid w:val="0076172D"/>
    <w:rsid w:val="007753A5"/>
    <w:rsid w:val="00775CC1"/>
    <w:rsid w:val="00786F41"/>
    <w:rsid w:val="007A78CA"/>
    <w:rsid w:val="007B1F96"/>
    <w:rsid w:val="007B5F71"/>
    <w:rsid w:val="007B6FA4"/>
    <w:rsid w:val="007B7326"/>
    <w:rsid w:val="007B7C48"/>
    <w:rsid w:val="007F24AF"/>
    <w:rsid w:val="007F7850"/>
    <w:rsid w:val="00801328"/>
    <w:rsid w:val="0080430C"/>
    <w:rsid w:val="008068FF"/>
    <w:rsid w:val="008158CD"/>
    <w:rsid w:val="00831398"/>
    <w:rsid w:val="00832960"/>
    <w:rsid w:val="00845B80"/>
    <w:rsid w:val="0085128F"/>
    <w:rsid w:val="00862E62"/>
    <w:rsid w:val="00863C16"/>
    <w:rsid w:val="008651D5"/>
    <w:rsid w:val="008730B1"/>
    <w:rsid w:val="00882E84"/>
    <w:rsid w:val="008904E9"/>
    <w:rsid w:val="0089145C"/>
    <w:rsid w:val="008914FE"/>
    <w:rsid w:val="008B72DA"/>
    <w:rsid w:val="008C13F7"/>
    <w:rsid w:val="008C4B17"/>
    <w:rsid w:val="008D0F42"/>
    <w:rsid w:val="008E292E"/>
    <w:rsid w:val="008E457C"/>
    <w:rsid w:val="008E63C4"/>
    <w:rsid w:val="00907403"/>
    <w:rsid w:val="00915FE6"/>
    <w:rsid w:val="00920277"/>
    <w:rsid w:val="00927259"/>
    <w:rsid w:val="00951B05"/>
    <w:rsid w:val="00955E3A"/>
    <w:rsid w:val="00955E3C"/>
    <w:rsid w:val="00971B64"/>
    <w:rsid w:val="009802DA"/>
    <w:rsid w:val="00982496"/>
    <w:rsid w:val="009A1192"/>
    <w:rsid w:val="009A3E86"/>
    <w:rsid w:val="009A47B1"/>
    <w:rsid w:val="009B0618"/>
    <w:rsid w:val="009B1355"/>
    <w:rsid w:val="009B64F8"/>
    <w:rsid w:val="009C6FD5"/>
    <w:rsid w:val="009D65E0"/>
    <w:rsid w:val="009D6E2B"/>
    <w:rsid w:val="009E6C02"/>
    <w:rsid w:val="009E77C1"/>
    <w:rsid w:val="009F3C07"/>
    <w:rsid w:val="009F75AE"/>
    <w:rsid w:val="00A0297C"/>
    <w:rsid w:val="00A03BB0"/>
    <w:rsid w:val="00A04C75"/>
    <w:rsid w:val="00A061EF"/>
    <w:rsid w:val="00A1012E"/>
    <w:rsid w:val="00A11680"/>
    <w:rsid w:val="00A1172A"/>
    <w:rsid w:val="00A17615"/>
    <w:rsid w:val="00A24278"/>
    <w:rsid w:val="00A305EF"/>
    <w:rsid w:val="00A30856"/>
    <w:rsid w:val="00A326BD"/>
    <w:rsid w:val="00A35748"/>
    <w:rsid w:val="00A56370"/>
    <w:rsid w:val="00A56EC3"/>
    <w:rsid w:val="00A605FC"/>
    <w:rsid w:val="00A8530D"/>
    <w:rsid w:val="00A861B9"/>
    <w:rsid w:val="00A90043"/>
    <w:rsid w:val="00AA7461"/>
    <w:rsid w:val="00AB6AE2"/>
    <w:rsid w:val="00AC09D1"/>
    <w:rsid w:val="00AC274C"/>
    <w:rsid w:val="00AC3456"/>
    <w:rsid w:val="00AC3E10"/>
    <w:rsid w:val="00AD52EC"/>
    <w:rsid w:val="00AE2F6A"/>
    <w:rsid w:val="00AE6054"/>
    <w:rsid w:val="00AE7CF7"/>
    <w:rsid w:val="00AF282A"/>
    <w:rsid w:val="00B10ED1"/>
    <w:rsid w:val="00B13839"/>
    <w:rsid w:val="00B168FC"/>
    <w:rsid w:val="00B16B8E"/>
    <w:rsid w:val="00B17B58"/>
    <w:rsid w:val="00B424FA"/>
    <w:rsid w:val="00B456C9"/>
    <w:rsid w:val="00B533AD"/>
    <w:rsid w:val="00B5646F"/>
    <w:rsid w:val="00B56DF1"/>
    <w:rsid w:val="00B62BDC"/>
    <w:rsid w:val="00B64A84"/>
    <w:rsid w:val="00B65297"/>
    <w:rsid w:val="00B65424"/>
    <w:rsid w:val="00B6642B"/>
    <w:rsid w:val="00B677A2"/>
    <w:rsid w:val="00B705C3"/>
    <w:rsid w:val="00B70927"/>
    <w:rsid w:val="00B74ECD"/>
    <w:rsid w:val="00B83B27"/>
    <w:rsid w:val="00B84A83"/>
    <w:rsid w:val="00B95751"/>
    <w:rsid w:val="00BA7AF6"/>
    <w:rsid w:val="00BC674C"/>
    <w:rsid w:val="00BC7DB7"/>
    <w:rsid w:val="00BE0832"/>
    <w:rsid w:val="00BE7761"/>
    <w:rsid w:val="00C05409"/>
    <w:rsid w:val="00C05444"/>
    <w:rsid w:val="00C06163"/>
    <w:rsid w:val="00C12112"/>
    <w:rsid w:val="00C23590"/>
    <w:rsid w:val="00C25C8C"/>
    <w:rsid w:val="00C31AE7"/>
    <w:rsid w:val="00C321B6"/>
    <w:rsid w:val="00C40769"/>
    <w:rsid w:val="00C63C8A"/>
    <w:rsid w:val="00C66903"/>
    <w:rsid w:val="00C674B1"/>
    <w:rsid w:val="00C707F4"/>
    <w:rsid w:val="00C70BA4"/>
    <w:rsid w:val="00C72B35"/>
    <w:rsid w:val="00C76B73"/>
    <w:rsid w:val="00C84C92"/>
    <w:rsid w:val="00C90170"/>
    <w:rsid w:val="00C955BF"/>
    <w:rsid w:val="00CC24C4"/>
    <w:rsid w:val="00CC36B8"/>
    <w:rsid w:val="00CC5969"/>
    <w:rsid w:val="00CD2786"/>
    <w:rsid w:val="00CE4184"/>
    <w:rsid w:val="00CE4837"/>
    <w:rsid w:val="00CE505C"/>
    <w:rsid w:val="00CE730E"/>
    <w:rsid w:val="00CF36DE"/>
    <w:rsid w:val="00CF7C52"/>
    <w:rsid w:val="00D03E1E"/>
    <w:rsid w:val="00D145BF"/>
    <w:rsid w:val="00D23C32"/>
    <w:rsid w:val="00D33856"/>
    <w:rsid w:val="00D3487D"/>
    <w:rsid w:val="00D4347D"/>
    <w:rsid w:val="00D51804"/>
    <w:rsid w:val="00D534CB"/>
    <w:rsid w:val="00D55532"/>
    <w:rsid w:val="00D6599F"/>
    <w:rsid w:val="00D70389"/>
    <w:rsid w:val="00D82532"/>
    <w:rsid w:val="00D833D5"/>
    <w:rsid w:val="00D901D9"/>
    <w:rsid w:val="00D90DF3"/>
    <w:rsid w:val="00D947E1"/>
    <w:rsid w:val="00D9613C"/>
    <w:rsid w:val="00DA6442"/>
    <w:rsid w:val="00DB62DC"/>
    <w:rsid w:val="00DB7158"/>
    <w:rsid w:val="00DC3F51"/>
    <w:rsid w:val="00DD3107"/>
    <w:rsid w:val="00DD7281"/>
    <w:rsid w:val="00DE007E"/>
    <w:rsid w:val="00DF35D5"/>
    <w:rsid w:val="00DF55B2"/>
    <w:rsid w:val="00E076C3"/>
    <w:rsid w:val="00E138A2"/>
    <w:rsid w:val="00E17AF5"/>
    <w:rsid w:val="00E24AF3"/>
    <w:rsid w:val="00E30D3E"/>
    <w:rsid w:val="00E40410"/>
    <w:rsid w:val="00E41348"/>
    <w:rsid w:val="00E46994"/>
    <w:rsid w:val="00E52AF9"/>
    <w:rsid w:val="00E5653D"/>
    <w:rsid w:val="00E56B28"/>
    <w:rsid w:val="00E60199"/>
    <w:rsid w:val="00E61EE2"/>
    <w:rsid w:val="00E664C2"/>
    <w:rsid w:val="00E71D5C"/>
    <w:rsid w:val="00E96007"/>
    <w:rsid w:val="00EB29CE"/>
    <w:rsid w:val="00ED2351"/>
    <w:rsid w:val="00EE0E12"/>
    <w:rsid w:val="00EE1143"/>
    <w:rsid w:val="00EE3DF1"/>
    <w:rsid w:val="00EE6B0B"/>
    <w:rsid w:val="00EF0BDC"/>
    <w:rsid w:val="00EF3C79"/>
    <w:rsid w:val="00EF5722"/>
    <w:rsid w:val="00F027A8"/>
    <w:rsid w:val="00F07299"/>
    <w:rsid w:val="00F11AA7"/>
    <w:rsid w:val="00F14AED"/>
    <w:rsid w:val="00F17C86"/>
    <w:rsid w:val="00F23E7E"/>
    <w:rsid w:val="00F25AF0"/>
    <w:rsid w:val="00F27FF1"/>
    <w:rsid w:val="00F32B0B"/>
    <w:rsid w:val="00F340CA"/>
    <w:rsid w:val="00F34F9B"/>
    <w:rsid w:val="00F47F9F"/>
    <w:rsid w:val="00F54A76"/>
    <w:rsid w:val="00F55B74"/>
    <w:rsid w:val="00F623B3"/>
    <w:rsid w:val="00F72890"/>
    <w:rsid w:val="00F75062"/>
    <w:rsid w:val="00F86176"/>
    <w:rsid w:val="00F87BE1"/>
    <w:rsid w:val="00F93BF3"/>
    <w:rsid w:val="00F93C08"/>
    <w:rsid w:val="00FA70AA"/>
    <w:rsid w:val="00FC546D"/>
    <w:rsid w:val="00FD58D7"/>
    <w:rsid w:val="00FF7701"/>
    <w:rsid w:val="02656B18"/>
    <w:rsid w:val="03974E67"/>
    <w:rsid w:val="051C6A47"/>
    <w:rsid w:val="0541695D"/>
    <w:rsid w:val="09A90B64"/>
    <w:rsid w:val="0A64489B"/>
    <w:rsid w:val="0A726BCF"/>
    <w:rsid w:val="0A875844"/>
    <w:rsid w:val="0F9C6EF5"/>
    <w:rsid w:val="154E322A"/>
    <w:rsid w:val="15966B4B"/>
    <w:rsid w:val="173975E7"/>
    <w:rsid w:val="19351C0F"/>
    <w:rsid w:val="19864ACE"/>
    <w:rsid w:val="1EBC0978"/>
    <w:rsid w:val="1F094816"/>
    <w:rsid w:val="203B2505"/>
    <w:rsid w:val="22DD3655"/>
    <w:rsid w:val="24DE5462"/>
    <w:rsid w:val="2580651A"/>
    <w:rsid w:val="27D52B4D"/>
    <w:rsid w:val="28E279B2"/>
    <w:rsid w:val="2FCA07DC"/>
    <w:rsid w:val="30DE1913"/>
    <w:rsid w:val="329462E9"/>
    <w:rsid w:val="37E262F1"/>
    <w:rsid w:val="392A6CA6"/>
    <w:rsid w:val="3CB37D2A"/>
    <w:rsid w:val="3E9055C8"/>
    <w:rsid w:val="3E9D5F46"/>
    <w:rsid w:val="4157234B"/>
    <w:rsid w:val="43272D44"/>
    <w:rsid w:val="435A7A2D"/>
    <w:rsid w:val="44143923"/>
    <w:rsid w:val="44CE5151"/>
    <w:rsid w:val="455D76AC"/>
    <w:rsid w:val="45AF05D2"/>
    <w:rsid w:val="461E5F97"/>
    <w:rsid w:val="473A5A66"/>
    <w:rsid w:val="47433A8B"/>
    <w:rsid w:val="47E74CD5"/>
    <w:rsid w:val="4B3379EF"/>
    <w:rsid w:val="4BA821A3"/>
    <w:rsid w:val="4C12521A"/>
    <w:rsid w:val="4CE216E4"/>
    <w:rsid w:val="4D257B59"/>
    <w:rsid w:val="500959B2"/>
    <w:rsid w:val="519F2263"/>
    <w:rsid w:val="55436D76"/>
    <w:rsid w:val="558F695C"/>
    <w:rsid w:val="56773E73"/>
    <w:rsid w:val="56C37942"/>
    <w:rsid w:val="583D6B43"/>
    <w:rsid w:val="593237D0"/>
    <w:rsid w:val="59495FC4"/>
    <w:rsid w:val="599505F2"/>
    <w:rsid w:val="5A925B36"/>
    <w:rsid w:val="5BA12543"/>
    <w:rsid w:val="5CFF237D"/>
    <w:rsid w:val="5D9C143B"/>
    <w:rsid w:val="5E321FE3"/>
    <w:rsid w:val="5F341FE6"/>
    <w:rsid w:val="60737941"/>
    <w:rsid w:val="64CC719D"/>
    <w:rsid w:val="68DF7FD2"/>
    <w:rsid w:val="6A390B6F"/>
    <w:rsid w:val="6CBA5C01"/>
    <w:rsid w:val="6CEB3CD6"/>
    <w:rsid w:val="6DD84013"/>
    <w:rsid w:val="703F0A84"/>
    <w:rsid w:val="70D34D1C"/>
    <w:rsid w:val="71B73CF3"/>
    <w:rsid w:val="71D16D4A"/>
    <w:rsid w:val="72316A9A"/>
    <w:rsid w:val="749C1F38"/>
    <w:rsid w:val="75ED4AD2"/>
    <w:rsid w:val="76FB771C"/>
    <w:rsid w:val="77DF4EB0"/>
    <w:rsid w:val="78C21C74"/>
    <w:rsid w:val="7B4D0FEC"/>
    <w:rsid w:val="7B634579"/>
    <w:rsid w:val="7C4314D9"/>
    <w:rsid w:val="7DF343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9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semiHidden/>
    <w:unhideWhenUsed/>
    <w:qFormat/>
    <w:uiPriority w:val="99"/>
    <w:pPr>
      <w:spacing w:after="120"/>
      <w:ind w:left="420" w:leftChars="200"/>
    </w:pPr>
  </w:style>
  <w:style w:type="paragraph" w:styleId="3">
    <w:name w:val="footer"/>
    <w:basedOn w:val="1"/>
    <w:link w:val="18"/>
    <w:qFormat/>
    <w:uiPriority w:val="0"/>
    <w:pPr>
      <w:tabs>
        <w:tab w:val="center" w:pos="4153"/>
        <w:tab w:val="right" w:pos="8306"/>
      </w:tabs>
      <w:snapToGrid w:val="0"/>
      <w:jc w:val="left"/>
    </w:pPr>
    <w:rPr>
      <w:sz w:val="18"/>
      <w:szCs w:val="18"/>
    </w:rPr>
  </w:style>
  <w:style w:type="paragraph" w:styleId="4">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5">
    <w:name w:val="toc 1"/>
    <w:basedOn w:val="1"/>
    <w:next w:val="1"/>
    <w:unhideWhenUsed/>
    <w:qFormat/>
    <w:uiPriority w:val="99"/>
    <w:pPr>
      <w:spacing w:before="120" w:after="120"/>
      <w:jc w:val="left"/>
    </w:pPr>
    <w:rPr>
      <w:rFonts w:ascii="Calibri" w:hAnsi="Calibri" w:eastAsia="宋体" w:cs="宋体"/>
      <w:b/>
      <w:bCs/>
      <w:caps/>
      <w:sz w:val="20"/>
      <w:szCs w:val="20"/>
    </w:rPr>
  </w:style>
  <w:style w:type="paragraph" w:styleId="6">
    <w:name w:val="Body Text First Indent 2"/>
    <w:basedOn w:val="2"/>
    <w:next w:val="1"/>
    <w:unhideWhenUsed/>
    <w:qFormat/>
    <w:uiPriority w:val="99"/>
    <w:pPr>
      <w:spacing w:before="100" w:beforeAutospacing="1"/>
      <w:ind w:firstLine="420" w:firstLineChars="200"/>
    </w:pPr>
    <w:rPr>
      <w:rFonts w:ascii="Calibri" w:hAnsi="Calibri" w:eastAsia="宋体" w:cs="Times New Roman"/>
      <w:szCs w:val="21"/>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font31"/>
    <w:basedOn w:val="9"/>
    <w:qFormat/>
    <w:uiPriority w:val="0"/>
    <w:rPr>
      <w:rFonts w:hint="default" w:ascii="Times New Roman" w:hAnsi="Times New Roman" w:cs="Times New Roman"/>
      <w:color w:val="000000"/>
      <w:sz w:val="20"/>
      <w:szCs w:val="20"/>
      <w:u w:val="none"/>
    </w:rPr>
  </w:style>
  <w:style w:type="character" w:customStyle="1" w:styleId="11">
    <w:name w:val="font21"/>
    <w:basedOn w:val="9"/>
    <w:qFormat/>
    <w:uiPriority w:val="0"/>
    <w:rPr>
      <w:rFonts w:hint="eastAsia" w:ascii="宋体" w:hAnsi="宋体" w:eastAsia="宋体" w:cs="宋体"/>
      <w:color w:val="000000"/>
      <w:sz w:val="20"/>
      <w:szCs w:val="20"/>
      <w:u w:val="none"/>
    </w:rPr>
  </w:style>
  <w:style w:type="paragraph" w:styleId="12">
    <w:name w:val="List Paragraph"/>
    <w:basedOn w:val="1"/>
    <w:qFormat/>
    <w:uiPriority w:val="99"/>
    <w:pPr>
      <w:ind w:firstLine="420" w:firstLineChars="200"/>
    </w:pPr>
  </w:style>
  <w:style w:type="character" w:customStyle="1" w:styleId="13">
    <w:name w:val="font41"/>
    <w:basedOn w:val="9"/>
    <w:qFormat/>
    <w:uiPriority w:val="0"/>
    <w:rPr>
      <w:rFonts w:hint="default" w:ascii="Times New Roman" w:hAnsi="Times New Roman" w:cs="Times New Roman"/>
      <w:color w:val="000000"/>
      <w:sz w:val="28"/>
      <w:szCs w:val="28"/>
      <w:u w:val="none"/>
    </w:rPr>
  </w:style>
  <w:style w:type="character" w:customStyle="1" w:styleId="14">
    <w:name w:val="font11"/>
    <w:basedOn w:val="9"/>
    <w:qFormat/>
    <w:uiPriority w:val="0"/>
    <w:rPr>
      <w:rFonts w:hint="default" w:ascii="仿宋_GB2312" w:eastAsia="仿宋_GB2312" w:cs="仿宋_GB2312"/>
      <w:color w:val="000000"/>
      <w:sz w:val="28"/>
      <w:szCs w:val="28"/>
      <w:u w:val="none"/>
    </w:rPr>
  </w:style>
  <w:style w:type="character" w:customStyle="1" w:styleId="15">
    <w:name w:val="font71"/>
    <w:basedOn w:val="9"/>
    <w:qFormat/>
    <w:uiPriority w:val="0"/>
    <w:rPr>
      <w:rFonts w:hint="default" w:ascii="Times New Roman" w:hAnsi="Times New Roman" w:cs="Times New Roman"/>
      <w:color w:val="000000"/>
      <w:sz w:val="26"/>
      <w:szCs w:val="26"/>
      <w:u w:val="none"/>
    </w:rPr>
  </w:style>
  <w:style w:type="paragraph" w:customStyle="1" w:styleId="16">
    <w:name w:val="Table Paragraph"/>
    <w:basedOn w:val="1"/>
    <w:semiHidden/>
    <w:qFormat/>
    <w:uiPriority w:val="0"/>
    <w:rPr>
      <w:rFonts w:ascii="Calibri" w:hAnsi="Calibri" w:eastAsia="宋体" w:cs="Times New Roman"/>
      <w:sz w:val="24"/>
    </w:rPr>
  </w:style>
  <w:style w:type="character" w:customStyle="1" w:styleId="17">
    <w:name w:val="页眉 字符"/>
    <w:basedOn w:val="9"/>
    <w:link w:val="4"/>
    <w:qFormat/>
    <w:uiPriority w:val="0"/>
    <w:rPr>
      <w:rFonts w:asciiTheme="minorHAnsi" w:hAnsiTheme="minorHAnsi" w:eastAsiaTheme="minorEastAsia" w:cstheme="minorBidi"/>
      <w:kern w:val="2"/>
      <w:sz w:val="18"/>
      <w:szCs w:val="18"/>
    </w:rPr>
  </w:style>
  <w:style w:type="character" w:customStyle="1" w:styleId="18">
    <w:name w:val="页脚 字符"/>
    <w:basedOn w:val="9"/>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4599</Words>
  <Characters>4994</Characters>
  <Lines>37</Lines>
  <Paragraphs>10</Paragraphs>
  <TotalTime>1</TotalTime>
  <ScaleCrop>false</ScaleCrop>
  <LinksUpToDate>false</LinksUpToDate>
  <CharactersWithSpaces>5071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2020-07-14T02:38:00Z</dcterms:created>
  <dc:creator>蛋蛋君丶</dc:creator>
  <cp:lastModifiedBy>亮馨馨-.-</cp:lastModifiedBy>
  <dcterms:modified xsi:type="dcterms:W3CDTF">2023-06-07T00:49:50Z</dcterms:modified>
  <cp:revision>408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EA91147AA59F4C76AF95262EA50FADFE_13</vt:lpwstr>
  </property>
</Properties>
</file>