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bookmarkStart w:id="0" w:name="_GoBack"/>
      <w:bookmarkEnd w:id="0"/>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经济管理学院实训基地升级维修</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2.项目编号：BS23071214</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default" w:ascii="仿宋" w:hAnsi="仿宋" w:eastAsia="仿宋" w:cs="仿宋"/>
          <w:kern w:val="0"/>
          <w:sz w:val="32"/>
          <w:szCs w:val="32"/>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default" w:ascii="仿宋" w:hAnsi="仿宋" w:eastAsia="仿宋" w:cs="仿宋"/>
          <w:kern w:val="0"/>
          <w:sz w:val="32"/>
          <w:szCs w:val="32"/>
          <w:lang w:eastAsia="zh-CN"/>
        </w:rPr>
        <w:t>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(寄出时间)</w:t>
      </w:r>
      <w:r>
        <w:rPr>
          <w:rFonts w:hint="eastAsia" w:ascii="仿宋" w:hAnsi="仿宋" w:eastAsia="仿宋" w:cs="仿宋"/>
          <w:kern w:val="0"/>
          <w:sz w:val="32"/>
          <w:szCs w:val="32"/>
        </w:rPr>
        <w:t>将标书邮寄至：江西省南昌市安义县前进东路8号南昌职业大学，收件人及电话：</w:t>
      </w:r>
      <w:r>
        <w:rPr>
          <w:rFonts w:hint="eastAsia" w:ascii="仿宋" w:hAnsi="仿宋" w:eastAsia="仿宋" w:cs="仿宋"/>
          <w:kern w:val="0"/>
          <w:sz w:val="32"/>
          <w:szCs w:val="32"/>
          <w:lang w:val="en-US" w:eastAsia="zh-CN"/>
        </w:rPr>
        <w:t xml:space="preserve">洪老师13087370719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default" w:ascii="仿宋" w:hAnsi="仿宋" w:eastAsia="仿宋" w:cs="仿宋"/>
          <w:sz w:val="32"/>
          <w:szCs w:val="32"/>
        </w:rPr>
        <w:t>7</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12 </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 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3"/>
        <w:gridCol w:w="1710"/>
        <w:gridCol w:w="780"/>
        <w:gridCol w:w="810"/>
        <w:gridCol w:w="7440"/>
        <w:gridCol w:w="112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项目序号</w:t>
            </w:r>
          </w:p>
        </w:tc>
        <w:tc>
          <w:tcPr>
            <w:tcW w:w="1710"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产品</w:t>
            </w:r>
          </w:p>
        </w:tc>
        <w:tc>
          <w:tcPr>
            <w:tcW w:w="780"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数量</w:t>
            </w:r>
          </w:p>
        </w:tc>
        <w:tc>
          <w:tcPr>
            <w:tcW w:w="810" w:type="dxa"/>
            <w:tcBorders>
              <w:top w:val="single" w:color="000000" w:sz="4" w:space="0"/>
              <w:lef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单位</w:t>
            </w:r>
          </w:p>
        </w:tc>
        <w:tc>
          <w:tcPr>
            <w:tcW w:w="744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招标参数</w:t>
            </w:r>
          </w:p>
        </w:tc>
        <w:tc>
          <w:tcPr>
            <w:tcW w:w="112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存放地点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备注1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主控云服务器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台</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2U硬件设备：</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1、CPU：2颗 Intel Xeon Gold 6226 R （16C/32T/2.9GHz）</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2、内存：256G（6*64G）</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3、Raid卡：LR382A 支持Raid0、1、5、10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4、硬盘：3*4T SATA+3*960G SSD</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5、网络：2*1000M,2*10000M</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6、电源：550w冗余电源</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7、提供3C认证证明材料</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8、要求所投产品支持异常断电保护，电源输入突然断电后，机器不能立即断电关机，应保持开机状态3分钟，然后自动开始正常关机动作。</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306</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计算云服务器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台</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2U硬件设备：</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1、CPU：2颗 Intel Xeon Gold 6226 R （16C/32T/2.9GHz）</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2、内存：256G（6*64G）</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3、硬盘：4T SATA+960G SSD</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4、网络：2*1000M,2*10000M</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5、电源：550w冗余电源</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306</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教师云终端</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7</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台</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CPU：I5 11400 六核 十二线程 2.6GHz主频，最高睿频4.4GHz</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内存：8G DDR4，支持双通道内存设计，最大可扩展至32GB，支持底面单独开盖即可更换升级内存；</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硬盘：512G SSD，支持M.2/mSATA多种存储方式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接口：4*USB 2.0,4*USB 3.0,1*VGA,1*HDMI,1*COM（串口）1*IR红外，2*音频输入输出，1*千兆网口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集显：Intel UHD Graphics 730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特性：支持上电自启动，支持远程唤醒</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安装方式：支持背挂/立式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散热方式：支持风扇+Smart铜管侧出风散热</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201、203、301、202、303、302</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学生云终端</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208</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台</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1、CPU： intel四核 四线程处理器，基础主频2.0GHz，最大支持2.8GHz；</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2、内存：4GB DDR4，最大支持16GB；</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3、硬盘：128GB M.2 NVME,最大支持512GB；</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4、显卡： 集成Intel UHD Graphics显示芯片，支持三屏显示（windows系统）；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5、显示接口：1个VGA口，1个HDMI口；</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6、其他接口：4个USB3.0接口，2个USB2.0接口，1组音频输入输出口；</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7、网络：1个千兆网口；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8、电源输入：12V/DC IN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201、203、301、202、303、302</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显示器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208</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台</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屏幕尺寸（对角）：21.5吋</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屏幕比例：16:9</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面板类型：IPS硬屏技术</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对比度（典型值）：1000:1(静态)</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可视角度（水平/垂直）（典型值）：178°/178°(CR≥10)</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扫描频率:垂直：30Hz~76 Hz 水平：40kHz~90kHz</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最大分辨率 ：1920*1080</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显示颜色：16.7M</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HDCP功能：支持</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信号输入：HDMI，VGA</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电源：12VDC 2A 国标2插</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消耗功率：正常工作≤20W 待机:≤0.5W</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用户控制 ：菜单，减少/亮度调节,增加/音量调节，退出/信号源切换，电源开关</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壁挂：VESA 100mm×100mm</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尺寸（显示器）mm ：489.5(W)x201.5(D)x380.4(H)mm</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201、203、301、202、303、302</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键盘鼠标</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208</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套</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键盘材质：ABS黑色</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USB接线长度：全黑PVC线，线长1.75M</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按键寿命：正常操作下1000万次以上</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鼠标材质：ABS黑色</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按键寿命：正常操作下300万次以上</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分辨率：默认800DPI，可调1200、1600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201、203、301、202、303、302</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教育桌面云软件-融合版</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套</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虚拟化软件可直接安装在物理服务器上，通过一个安装包即可实现VDI/VOI/IDV三种架构云桌面服务端的统一安装，并立即生效使用，无需部署其他组件，降低安装复杂度，安装完成后管理平台可通过账号密码及微信扫码多种方式登录；</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2.管理平台和终端支持IPv4、IPv6网络环境下的安装使用，可配置IPv4、IPv6网络信息；</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3.支持VDI/VOI/IDV融合客户端，同一客户端可访问VDI、VOI和IDV桌面，并可按需切换，满足用户不同应用场景的多样化访问需求；</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支持跨校区多区域资源汇总分析，可统计所有区域的桌面云部署信息，至少包括服务器数量，CPU、内存、存储使用率，教室数量，终端数量，桌面数量等，也可统计分析区域内桌面使用次数，桌面场景使用时长，机房日均使用时长等信息，便于学校掌握桌面云整体建设使用情况；</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5.支持桌面还原属性修改，桌面创建完成后，可为系统盘和数据盘设置还原模式，包括：每次还原、每天还原、每周还原、每月还原、不还原；可对任意数量的桌面进行还原操作；（需提供现场原型功能演示）</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6.支持模板分享链接，管理员可将编辑模板的链接分享给需要编辑模板的用户；在浏览器中输入链接地址，可对模板进行编辑；设置分享日期、分享链接的失效期。（需提供现场原型功能演示）</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7.支持控制节点HA，配置两台主控时采用主备模式，当主控服务器故障，备控服务器自动完成接管，虚拟桌面零中断，执行HA切换前后，所有终端连接服务器的网络配置无需更改；HA触发的敏感时间可精细化到秒并可配置；</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8.支持服务器修复与替换，当单个节点服务器故障时，不影响模板更新，可重装系统进行修复，也可直接替换，节点服务器恢复正常后可自动或手动同步离线节点服务器的教学桌面数据，从而降低单点故障并提供快速修复方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9.支持个人桌面镜像分层技术，可直接在管理平台设置分层空间大小，用于存储用户系统盘产生的数据，个人桌面模板统一更新时，可保留个性化教学办公数据；</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10.为保证系统网络安全性与稳定性，WEB管理平台上可支持多网卡绑定，支持activebackup、broadcast、roundrobin、random、loadbalance等5种常用的bond模式；也可支持管理网络、数据网络、镜像网络分离，将三种网络分别绑定到不同的服务器物理网卡，实现网络分流，上述功能均无需采用命令行操作，降低操作难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11.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12.支持个人桌面回收站功能，防止因个人桌面误删除造成的数据丢失，可设置回收站文件保存天数，超期的文件将被自动删除，也可彻底删除或还原虚拟桌面；</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13.支持在管理平台上对教学桌面发起远程协助，便于随时解决学生桌面使用问题；</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14.支持个人桌面池和教学桌面池功能，个人桌面池可绑定用户组织或部门，组织或部门用户通过账号随机获取要使用的桌面资源，使用完后可释放资源；教学桌面池不限终端类型，用户无需账号密码可在任意终端上（如学生笔记本）随机获取桌面资源，使用完后可释放资源，满足开放型实验、公共学习等要求；</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15.支持在一个终端上通过一个账号密码，同时登录多个个人桌面，桌面可窗口化显示，可以拖动缩放,无需桌面切换即可满足用户同时使用不同桌面的场景；</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16.支持设置虚拟桌面和本地系统之间的文件传输策略，包括双向传输，仅虚拟机往本地系统传输，仅本地系统往虚拟机传输多种策略，便于实现文件的共享；</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17.通过网页登录桌面或系统模板时，支持拖拽方式实现本地系统和虚拟桌面之间的文件上传和下载，便于数据文件的共享；</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18.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便于管理员维护时快速查找对应的终端；</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19.学院已部署一批桌面云设备，为保护已有投资且简化管理，要求本期所投桌面云系统能与学校现有的桌面云系统无缝对接，在同一集群同一平台下统一管理，此次建设软件要求可以实现同步更新我校计算机室终端的数据，已有数据要求保留。采购人负责提供对接所需的原系统相关技术资料及相关协调工作，费用由中标人承担。本对接与管理的实现可接受以下形式（其中一种或多种均可）：1）原平台并入新建平台管理；2）新建平台 接入原平台管理；3）采用第三方平台进行统一对接管控；4）可实现 的具有成功案例的其他的对接与管理形式，并投标时提供无缝对接承诺函（ 承诺函格式自拟）</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jc w:val="left"/>
              <w:rPr>
                <w:rFonts w:hint="eastAsia"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多媒体教学管理软件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7</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套</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1.支持IPV4、IPV6网络环境下安装和正常使用，支持windows 7 32位/64位，windows10 64位、windows11 64位操作系统；</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2.教师自带笔记本可通过mac绑定和ip绑定两种方式快速连接服务器和学生端，实现多媒体互动教学；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3.支持班级管理，可将频道和班级进行绑定，用于不同的教室登录不同的频道进行上课；</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4.支持对学生视图自定义命令和排序，便于学生未点名时，通过座位信息快速找到学生；</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5.支持屏幕广播功能，能够实现两种接收模式，包括学生全屏/窗口模式接收教师机广播的画面，全屏状态锁定学生鼠标和键盘；</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6.教师可对学生进行电子点名，可以自定义院系、专业、班级等单位类别，可导入导出学生信息，可设置迟到时间，可显示签到人数。</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7.屏幕广播状态下，教师可开启实时语音，学生端可以通过耳机接听教师语音，同时支持屏幕笔功能，教师可通过屏幕笔将屏幕当做画板进行绘制，便于教学互动；</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8.支持影音广播，即使在终端未进入桌面的状态，也能够实现全体学生的影音广播，影音广播下支持视频的切换、暂停，并支持点击进度条任意地方以改变视频播放进度；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9.在屏幕广播之后连接上来的终端可直接接收屏幕广播内容，用户终端关闭虚拟桌面仍可同步广播教师机屏幕和视频，不会中断教学；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10.屏幕广播支持区域广播方式，在教室端屏幕选取一块区域后，对学生端进行区域广播操作；11.支持遥控转播，教师端可对单个学生机进行遥控并转播到其它学生机桌面；</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12.具备游戏互动教学功能，支持击鼓传花，电子抢答等互动方式；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13.教师机可以连续监看所选学生机屏幕，每屏可监视多个学生,可设置每屏学生机的数量以及学生机屏幕轮循的时间间隔；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jc w:val="left"/>
              <w:rPr>
                <w:rFonts w:hint="eastAsia"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网络机柜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7</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台</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2U机柜，尺寸600*1000*1200mm</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306</w:t>
            </w: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布线及施工</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w:t>
            </w:r>
          </w:p>
        </w:tc>
        <w:tc>
          <w:tcPr>
            <w:tcW w:w="810" w:type="dxa"/>
            <w:tcBorders>
              <w:top w:val="single" w:color="000000" w:sz="4" w:space="0"/>
              <w:left w:val="single" w:color="000000" w:sz="4" w:space="0"/>
              <w:bottom w:val="single" w:color="000000" w:sz="4"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批</w:t>
            </w:r>
          </w:p>
        </w:tc>
        <w:tc>
          <w:tcPr>
            <w:tcW w:w="7440"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top"/>
          </w:tcPr>
          <w:p>
            <w:pPr>
              <w:keepNext w:val="0"/>
              <w:keepLines w:val="0"/>
              <w:widowControl/>
              <w:suppressLineNumbers w:val="0"/>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布线施工</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30" w:type="dxa"/>
              <w:left w:w="45" w:type="dxa"/>
              <w:bottom w:w="30" w:type="dxa"/>
              <w:right w:w="45" w:type="dxa"/>
            </w:tcMar>
            <w:vAlign w:val="center"/>
          </w:tcPr>
          <w:p>
            <w:pPr>
              <w:jc w:val="left"/>
              <w:rPr>
                <w:rFonts w:hint="eastAsia"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tcBorders>
            <w:shd w:val="clear" w:color="auto" w:fill="auto"/>
            <w:tcMar>
              <w:top w:w="30" w:type="dxa"/>
              <w:left w:w="45" w:type="dxa"/>
              <w:bottom w:w="30" w:type="dxa"/>
              <w:right w:w="45" w:type="dxa"/>
            </w:tcMar>
            <w:vAlign w:val="center"/>
          </w:tcPr>
          <w:p>
            <w:pPr>
              <w:jc w:val="center"/>
              <w:rPr>
                <w:rFonts w:hint="eastAsia" w:ascii="宋体" w:hAnsi="宋体" w:eastAsia="宋体" w:cs="宋体"/>
                <w:color w:val="FF0000"/>
                <w:sz w:val="22"/>
                <w:szCs w:val="22"/>
              </w:rPr>
            </w:pP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7E678F7"/>
    <w:rsid w:val="09A90B64"/>
    <w:rsid w:val="0A64489B"/>
    <w:rsid w:val="0A726BCF"/>
    <w:rsid w:val="154E322A"/>
    <w:rsid w:val="15966B4B"/>
    <w:rsid w:val="19351C0F"/>
    <w:rsid w:val="1EBC0978"/>
    <w:rsid w:val="1F094816"/>
    <w:rsid w:val="203B2505"/>
    <w:rsid w:val="21091F3D"/>
    <w:rsid w:val="22DD3655"/>
    <w:rsid w:val="24EF1C63"/>
    <w:rsid w:val="2580651A"/>
    <w:rsid w:val="28E279B2"/>
    <w:rsid w:val="30DE1913"/>
    <w:rsid w:val="37E262F1"/>
    <w:rsid w:val="3CB37D2A"/>
    <w:rsid w:val="3E9D5F46"/>
    <w:rsid w:val="3F740A45"/>
    <w:rsid w:val="4157234B"/>
    <w:rsid w:val="43272D44"/>
    <w:rsid w:val="435A7A2D"/>
    <w:rsid w:val="44CE5151"/>
    <w:rsid w:val="45AF05D2"/>
    <w:rsid w:val="461E5F97"/>
    <w:rsid w:val="473A5A66"/>
    <w:rsid w:val="47433A8B"/>
    <w:rsid w:val="47E74CD5"/>
    <w:rsid w:val="493C2CC6"/>
    <w:rsid w:val="4B3379EF"/>
    <w:rsid w:val="4BA821A3"/>
    <w:rsid w:val="4C12521A"/>
    <w:rsid w:val="4D257B59"/>
    <w:rsid w:val="500959B2"/>
    <w:rsid w:val="519F2263"/>
    <w:rsid w:val="55436D76"/>
    <w:rsid w:val="558F695C"/>
    <w:rsid w:val="56773E73"/>
    <w:rsid w:val="56C37942"/>
    <w:rsid w:val="57E43E5E"/>
    <w:rsid w:val="583D6B43"/>
    <w:rsid w:val="593237D0"/>
    <w:rsid w:val="59495FC4"/>
    <w:rsid w:val="599505F2"/>
    <w:rsid w:val="5A925B36"/>
    <w:rsid w:val="5CFF237D"/>
    <w:rsid w:val="5F341FE6"/>
    <w:rsid w:val="60737941"/>
    <w:rsid w:val="64CC719D"/>
    <w:rsid w:val="68DF7FD2"/>
    <w:rsid w:val="6A390B6F"/>
    <w:rsid w:val="6CEB3CD6"/>
    <w:rsid w:val="6DD84013"/>
    <w:rsid w:val="703F0A84"/>
    <w:rsid w:val="70D34D1C"/>
    <w:rsid w:val="71B73CF3"/>
    <w:rsid w:val="71D16D4A"/>
    <w:rsid w:val="72316A9A"/>
    <w:rsid w:val="749C1F38"/>
    <w:rsid w:val="76FB771C"/>
    <w:rsid w:val="78C21C74"/>
    <w:rsid w:val="7B634579"/>
    <w:rsid w:val="7C4314D9"/>
    <w:rsid w:val="7DF343CB"/>
    <w:rsid w:val="DE9138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4682</Words>
  <Characters>5472</Characters>
  <Lines>9</Lines>
  <Paragraphs>2</Paragraphs>
  <TotalTime>0</TotalTime>
  <ScaleCrop>false</ScaleCrop>
  <LinksUpToDate>false</LinksUpToDate>
  <CharactersWithSpaces>5538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2020-07-14T10:38:00Z</dcterms:created>
  <dc:creator>蛋蛋君丶</dc:creator>
  <cp:lastModifiedBy>亮馨馨-.-</cp:lastModifiedBy>
  <dcterms:modified xsi:type="dcterms:W3CDTF">2023-07-12T03:17:22Z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6B6B5CCADB334F9D9C341A89954778B5_13</vt:lpwstr>
  </property>
</Properties>
</file>