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b/>
          <w:bCs/>
          <w:sz w:val="44"/>
          <w:szCs w:val="44"/>
        </w:rPr>
        <w:t>南昌职业大学采购项目邀请函</w:t>
      </w:r>
    </w:p>
    <w:p>
      <w:pPr>
        <w:spacing w:line="480" w:lineRule="exact"/>
        <w:textAlignment w:val="center"/>
        <w:rPr>
          <w:rFonts w:ascii="仿宋" w:hAnsi="仿宋" w:eastAsia="仿宋" w:cs="仿宋"/>
          <w:b/>
          <w:bCs/>
          <w:sz w:val="32"/>
          <w:szCs w:val="32"/>
        </w:rPr>
      </w:pPr>
    </w:p>
    <w:p>
      <w:pPr>
        <w:spacing w:line="480" w:lineRule="exact"/>
        <w:textAlignment w:val="center"/>
        <w:rPr>
          <w:rFonts w:ascii="仿宋" w:hAnsi="仿宋" w:eastAsia="仿宋" w:cs="仿宋"/>
          <w:sz w:val="32"/>
          <w:szCs w:val="32"/>
        </w:rPr>
      </w:pPr>
      <w:r>
        <w:rPr>
          <w:rFonts w:hint="eastAsia" w:ascii="仿宋" w:hAnsi="仿宋" w:eastAsia="仿宋" w:cs="仿宋"/>
          <w:b/>
          <w:bCs/>
          <w:sz w:val="32"/>
          <w:szCs w:val="32"/>
        </w:rPr>
        <w:t>各厂家、公司（乙方）：</w:t>
      </w:r>
    </w:p>
    <w:p>
      <w:pPr>
        <w:spacing w:line="480" w:lineRule="exact"/>
        <w:ind w:firstLine="640" w:firstLineChars="200"/>
        <w:textAlignment w:val="center"/>
        <w:rPr>
          <w:rFonts w:ascii="仿宋" w:hAnsi="仿宋" w:eastAsia="仿宋" w:cs="仿宋"/>
          <w:kern w:val="0"/>
          <w:sz w:val="32"/>
          <w:szCs w:val="32"/>
        </w:rPr>
      </w:pPr>
      <w:r>
        <w:rPr>
          <w:rFonts w:hint="eastAsia" w:ascii="仿宋" w:hAnsi="仿宋" w:eastAsia="仿宋" w:cs="仿宋"/>
          <w:kern w:val="0"/>
          <w:sz w:val="32"/>
          <w:szCs w:val="32"/>
        </w:rPr>
        <w:t>我们荣幸的邀请贵单位为我校项目投标单位，现将有关事项通知如下：</w:t>
      </w:r>
    </w:p>
    <w:p>
      <w:pPr>
        <w:spacing w:line="480" w:lineRule="exact"/>
        <w:ind w:firstLine="640" w:firstLineChars="200"/>
        <w:jc w:val="left"/>
        <w:textAlignment w:val="center"/>
        <w:rPr>
          <w:rFonts w:ascii="黑体" w:hAnsi="黑体" w:eastAsia="黑体" w:cs="黑体"/>
          <w:bCs/>
          <w:kern w:val="0"/>
          <w:sz w:val="32"/>
          <w:szCs w:val="32"/>
        </w:rPr>
      </w:pPr>
      <w:r>
        <w:rPr>
          <w:rFonts w:hint="eastAsia" w:ascii="黑体" w:hAnsi="黑体" w:eastAsia="黑体" w:cs="黑体"/>
          <w:bCs/>
          <w:kern w:val="0"/>
          <w:sz w:val="32"/>
          <w:szCs w:val="32"/>
        </w:rPr>
        <w:t>一、项目概况：</w:t>
      </w:r>
    </w:p>
    <w:p>
      <w:pPr>
        <w:spacing w:line="480" w:lineRule="exact"/>
        <w:ind w:firstLine="640" w:firstLineChars="200"/>
        <w:jc w:val="left"/>
        <w:textAlignment w:val="center"/>
        <w:rPr>
          <w:rFonts w:hint="default" w:ascii="仿宋" w:hAnsi="仿宋" w:eastAsia="仿宋" w:cs="仿宋"/>
          <w:kern w:val="0"/>
          <w:sz w:val="32"/>
          <w:szCs w:val="32"/>
          <w:lang w:val="en-US" w:eastAsia="zh-CN"/>
        </w:rPr>
      </w:pPr>
      <w:r>
        <w:rPr>
          <w:rFonts w:hint="eastAsia" w:ascii="仿宋" w:hAnsi="仿宋" w:eastAsia="仿宋" w:cs="仿宋"/>
          <w:kern w:val="0"/>
          <w:sz w:val="32"/>
          <w:szCs w:val="32"/>
        </w:rPr>
        <w:t>1.项目名称：</w:t>
      </w:r>
      <w:r>
        <w:rPr>
          <w:rFonts w:hint="eastAsia" w:ascii="仿宋" w:hAnsi="仿宋" w:eastAsia="仿宋" w:cs="仿宋"/>
          <w:kern w:val="0"/>
          <w:sz w:val="32"/>
          <w:szCs w:val="32"/>
          <w:lang w:val="en-US" w:eastAsia="zh-CN"/>
        </w:rPr>
        <w:t>湾里校区教学楼与食堂家具采购</w:t>
      </w:r>
    </w:p>
    <w:p>
      <w:pPr>
        <w:spacing w:line="480" w:lineRule="exact"/>
        <w:ind w:firstLine="640" w:firstLineChars="200"/>
        <w:jc w:val="left"/>
        <w:textAlignment w:val="center"/>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2.项目编号：</w:t>
      </w:r>
      <w:r>
        <w:rPr>
          <w:rFonts w:ascii="仿宋" w:hAnsi="仿宋" w:eastAsia="仿宋" w:cs="仿宋"/>
          <w:sz w:val="31"/>
          <w:szCs w:val="31"/>
        </w:rPr>
        <w:t>BS230</w:t>
      </w:r>
      <w:r>
        <w:rPr>
          <w:rFonts w:hint="eastAsia" w:ascii="仿宋" w:hAnsi="仿宋" w:eastAsia="仿宋" w:cs="仿宋"/>
          <w:sz w:val="31"/>
          <w:szCs w:val="31"/>
          <w:lang w:val="en-US" w:eastAsia="zh-CN"/>
        </w:rPr>
        <w:t>8</w:t>
      </w:r>
      <w:r>
        <w:rPr>
          <w:rFonts w:ascii="仿宋" w:hAnsi="仿宋" w:eastAsia="仿宋" w:cs="仿宋"/>
          <w:sz w:val="31"/>
          <w:szCs w:val="31"/>
        </w:rPr>
        <w:t>1</w:t>
      </w:r>
      <w:r>
        <w:rPr>
          <w:rFonts w:hint="eastAsia" w:ascii="仿宋" w:hAnsi="仿宋" w:eastAsia="仿宋" w:cs="仿宋"/>
          <w:sz w:val="31"/>
          <w:szCs w:val="31"/>
          <w:lang w:val="en-US" w:eastAsia="zh-CN"/>
        </w:rPr>
        <w:t>8</w:t>
      </w:r>
      <w:r>
        <w:rPr>
          <w:rFonts w:ascii="仿宋" w:hAnsi="仿宋" w:eastAsia="仿宋" w:cs="仿宋"/>
          <w:sz w:val="31"/>
          <w:szCs w:val="31"/>
        </w:rPr>
        <w:t>1</w:t>
      </w:r>
      <w:r>
        <w:rPr>
          <w:rFonts w:hint="eastAsia" w:ascii="仿宋" w:hAnsi="仿宋" w:eastAsia="仿宋" w:cs="仿宋"/>
          <w:sz w:val="31"/>
          <w:szCs w:val="31"/>
          <w:lang w:val="en-US" w:eastAsia="zh-CN"/>
        </w:rPr>
        <w:t>8</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rPr>
        <w:t>.邀标单位（甲方）：南昌职业大学</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rPr>
        <w:t>.项目地点：南昌职业大学校内</w:t>
      </w:r>
    </w:p>
    <w:p>
      <w:pPr>
        <w:spacing w:line="480" w:lineRule="exact"/>
        <w:ind w:firstLine="640" w:firstLineChars="200"/>
        <w:jc w:val="left"/>
        <w:textAlignment w:val="center"/>
        <w:rPr>
          <w:rFonts w:ascii="黑体" w:hAnsi="黑体" w:eastAsia="黑体" w:cs="黑体"/>
          <w:bCs/>
          <w:kern w:val="0"/>
          <w:sz w:val="32"/>
          <w:szCs w:val="32"/>
        </w:rPr>
      </w:pPr>
      <w:r>
        <w:rPr>
          <w:rFonts w:hint="eastAsia" w:ascii="黑体" w:hAnsi="黑体" w:eastAsia="黑体" w:cs="黑体"/>
          <w:bCs/>
          <w:kern w:val="0"/>
          <w:sz w:val="32"/>
          <w:szCs w:val="32"/>
        </w:rPr>
        <w:t>二、标书内容：</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rPr>
        <w:t>1.公司资格文件（营业执照、税务登记证及纳税证明、法定代表人授权委托书、企业介绍等）。</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rPr>
        <w:t>2.单位诚信投标报价承诺书及售后服务承诺书。</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rPr>
        <w:t>3.成功案例证明材料。</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rPr>
        <w:t>4.</w:t>
      </w:r>
      <w:r>
        <w:rPr>
          <w:rFonts w:hint="eastAsia"/>
        </w:rPr>
        <w:t xml:space="preserve"> </w:t>
      </w:r>
      <w:r>
        <w:rPr>
          <w:rFonts w:hint="eastAsia" w:ascii="仿宋" w:hAnsi="仿宋" w:eastAsia="仿宋" w:cs="仿宋"/>
          <w:kern w:val="0"/>
          <w:sz w:val="32"/>
          <w:szCs w:val="32"/>
        </w:rPr>
        <w:t>投标单位对投标货物及服务报价，应报出最具有竞争力的价格，按附件建设清单分项报价（至少包括：设备名称，示例图片，品牌，型号规格，数量，单位，单价，金额，厂家，招标参数,应标参数，正负偏离）,设备品牌为行业知名品牌,</w:t>
      </w:r>
      <w:r>
        <w:rPr>
          <w:rFonts w:hint="eastAsia"/>
        </w:rPr>
        <w:t xml:space="preserve"> </w:t>
      </w:r>
      <w:r>
        <w:rPr>
          <w:rFonts w:hint="eastAsia" w:ascii="仿宋" w:hAnsi="仿宋" w:eastAsia="仿宋" w:cs="仿宋"/>
          <w:kern w:val="0"/>
          <w:sz w:val="32"/>
          <w:szCs w:val="32"/>
        </w:rPr>
        <w:t>若涉及隐形费用请单列报价并做出说明。</w:t>
      </w:r>
    </w:p>
    <w:p>
      <w:pPr>
        <w:spacing w:line="480" w:lineRule="exact"/>
        <w:ind w:firstLine="640" w:firstLineChars="200"/>
        <w:jc w:val="left"/>
        <w:textAlignment w:val="center"/>
        <w:rPr>
          <w:rFonts w:ascii="仿宋" w:hAnsi="仿宋" w:eastAsia="仿宋" w:cs="仿宋"/>
          <w:b/>
          <w:bCs/>
          <w:color w:val="FF0000"/>
          <w:kern w:val="0"/>
          <w:sz w:val="32"/>
          <w:szCs w:val="32"/>
        </w:rPr>
      </w:pPr>
      <w:r>
        <w:rPr>
          <w:rFonts w:ascii="仿宋" w:hAnsi="仿宋" w:eastAsia="仿宋" w:cs="仿宋"/>
          <w:color w:val="000000" w:themeColor="text1"/>
          <w:kern w:val="0"/>
          <w:sz w:val="32"/>
          <w:szCs w:val="32"/>
          <w14:textFill>
            <w14:solidFill>
              <w14:schemeClr w14:val="tx1"/>
            </w14:solidFill>
          </w14:textFill>
        </w:rPr>
        <w:t>5</w:t>
      </w:r>
      <w:r>
        <w:rPr>
          <w:rFonts w:hint="eastAsia" w:ascii="仿宋" w:hAnsi="仿宋" w:eastAsia="仿宋" w:cs="仿宋"/>
          <w:color w:val="000000" w:themeColor="text1"/>
          <w:kern w:val="0"/>
          <w:sz w:val="32"/>
          <w:szCs w:val="32"/>
          <w14:textFill>
            <w14:solidFill>
              <w14:schemeClr w14:val="tx1"/>
            </w14:solidFill>
          </w14:textFill>
        </w:rPr>
        <w:t>.标书中注明到货时间、安装调试时间及税点</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rPr>
        <w:t>以上材料均需盖单位公章。</w:t>
      </w:r>
    </w:p>
    <w:p>
      <w:pPr>
        <w:spacing w:line="480" w:lineRule="exact"/>
        <w:ind w:firstLine="640" w:firstLineChars="200"/>
        <w:jc w:val="left"/>
        <w:textAlignment w:val="center"/>
        <w:rPr>
          <w:rFonts w:ascii="黑体" w:hAnsi="黑体" w:eastAsia="黑体" w:cs="黑体"/>
          <w:bCs/>
          <w:kern w:val="0"/>
          <w:sz w:val="32"/>
          <w:szCs w:val="32"/>
        </w:rPr>
      </w:pPr>
      <w:r>
        <w:rPr>
          <w:rFonts w:hint="eastAsia" w:ascii="黑体" w:hAnsi="黑体" w:eastAsia="黑体" w:cs="黑体"/>
          <w:bCs/>
          <w:kern w:val="0"/>
          <w:sz w:val="32"/>
          <w:szCs w:val="32"/>
        </w:rPr>
        <w:t>三、标书要求：</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rPr>
        <w:t>1.标书用A4纸正反打印，胶装成书，分项报价用A4纸正反打印，均一式伍份（正本壹份、副本肆份）。</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rPr>
        <w:t>2.准备资料原件接受资质审核。</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rPr>
        <w:t>3.标书密封、签字并加盖齐缝章，内容不许涂改或行间插字。</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rPr>
        <w:t>4.请于202</w:t>
      </w: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8</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24</w:t>
      </w:r>
      <w:r>
        <w:rPr>
          <w:rFonts w:hint="eastAsia" w:ascii="仿宋" w:hAnsi="仿宋" w:eastAsia="仿宋" w:cs="仿宋"/>
          <w:kern w:val="0"/>
          <w:sz w:val="32"/>
          <w:szCs w:val="32"/>
        </w:rPr>
        <w:t>日之前将标书邮寄至：江西省南昌市安义县前进东路8号南昌职业大学，收件人及电话：</w:t>
      </w:r>
      <w:r>
        <w:rPr>
          <w:rFonts w:hint="eastAsia" w:ascii="仿宋" w:hAnsi="仿宋" w:eastAsia="仿宋" w:cs="仿宋"/>
          <w:kern w:val="0"/>
          <w:sz w:val="32"/>
          <w:szCs w:val="32"/>
          <w:lang w:val="en-US" w:eastAsia="zh-CN"/>
        </w:rPr>
        <w:t xml:space="preserve">洪老师13087370719 </w:t>
      </w:r>
      <w:r>
        <w:rPr>
          <w:rFonts w:hint="eastAsia" w:ascii="仿宋" w:hAnsi="仿宋" w:eastAsia="仿宋" w:cs="仿宋"/>
          <w:kern w:val="0"/>
          <w:sz w:val="32"/>
          <w:szCs w:val="32"/>
        </w:rPr>
        <w:t>。</w:t>
      </w:r>
    </w:p>
    <w:p>
      <w:pPr>
        <w:spacing w:line="480" w:lineRule="exact"/>
        <w:ind w:firstLine="640" w:firstLineChars="200"/>
        <w:textAlignment w:val="center"/>
        <w:rPr>
          <w:rFonts w:ascii="仿宋" w:hAnsi="仿宋" w:eastAsia="仿宋" w:cs="仿宋"/>
          <w:b/>
          <w:bCs/>
          <w:sz w:val="32"/>
          <w:szCs w:val="32"/>
        </w:rPr>
      </w:pPr>
      <w:r>
        <w:rPr>
          <w:rFonts w:hint="eastAsia" w:ascii="黑体" w:hAnsi="黑体" w:eastAsia="黑体" w:cs="黑体"/>
          <w:bCs/>
          <w:kern w:val="0"/>
          <w:sz w:val="32"/>
          <w:szCs w:val="32"/>
        </w:rPr>
        <w:t>四、产品质量：</w:t>
      </w:r>
    </w:p>
    <w:p>
      <w:pPr>
        <w:spacing w:line="480" w:lineRule="exact"/>
        <w:ind w:firstLine="640" w:firstLineChars="200"/>
        <w:textAlignment w:val="center"/>
        <w:rPr>
          <w:rFonts w:ascii="仿宋" w:hAnsi="仿宋" w:eastAsia="仿宋" w:cs="仿宋"/>
          <w:sz w:val="32"/>
          <w:szCs w:val="32"/>
        </w:rPr>
      </w:pPr>
      <w:r>
        <w:rPr>
          <w:rFonts w:hint="eastAsia" w:ascii="仿宋" w:hAnsi="仿宋" w:eastAsia="仿宋" w:cs="仿宋"/>
          <w:sz w:val="32"/>
          <w:szCs w:val="32"/>
        </w:rPr>
        <w:t>若中标，乙方所有产品必须按要求质量出货，保证原装正品，不得以次充好，不得转包，如有发现，甲方有权拒付项目所有款项，保留追究违约责任的权力。</w:t>
      </w:r>
    </w:p>
    <w:p>
      <w:pPr>
        <w:spacing w:line="480" w:lineRule="exact"/>
        <w:ind w:firstLine="640" w:firstLineChars="200"/>
        <w:textAlignment w:val="center"/>
        <w:rPr>
          <w:rFonts w:ascii="仿宋" w:hAnsi="仿宋" w:eastAsia="仿宋" w:cs="仿宋"/>
          <w:b/>
          <w:bCs/>
          <w:sz w:val="32"/>
          <w:szCs w:val="32"/>
        </w:rPr>
      </w:pPr>
      <w:r>
        <w:rPr>
          <w:rFonts w:hint="eastAsia" w:ascii="黑体" w:hAnsi="黑体" w:eastAsia="黑体" w:cs="黑体"/>
          <w:bCs/>
          <w:kern w:val="0"/>
          <w:sz w:val="32"/>
          <w:szCs w:val="32"/>
        </w:rPr>
        <w:t>五、付款方式及发票要求：</w:t>
      </w:r>
    </w:p>
    <w:p>
      <w:pPr>
        <w:spacing w:line="480" w:lineRule="exact"/>
        <w:ind w:firstLine="640" w:firstLineChars="200"/>
        <w:jc w:val="left"/>
        <w:textAlignment w:val="center"/>
        <w:rPr>
          <w:rFonts w:hint="eastAsia" w:ascii="仿宋" w:hAnsi="仿宋" w:eastAsia="仿宋" w:cs="仿宋"/>
          <w:sz w:val="32"/>
          <w:szCs w:val="32"/>
        </w:rPr>
      </w:pPr>
      <w:r>
        <w:rPr>
          <w:rFonts w:hint="eastAsia" w:ascii="仿宋" w:hAnsi="仿宋" w:eastAsia="仿宋" w:cs="仿宋"/>
          <w:sz w:val="32"/>
          <w:szCs w:val="32"/>
        </w:rPr>
        <w:t>正常使用情况下自验收合格后免费质保不低于叁年。2小时内服务响应，24小时内上门服务。合同签订后乙方须支付合同总价5%的履约保证金至甲方指定帐户，验收合格完成后履约保证金自动转为质量保证金。质保期内无质量问题，甲方按第一年1%、第二年2%、第三年2%的比例，无息返还质量保证金给乙方。</w:t>
      </w:r>
    </w:p>
    <w:p>
      <w:pPr>
        <w:spacing w:line="480" w:lineRule="exact"/>
        <w:ind w:firstLine="640" w:firstLineChars="200"/>
        <w:jc w:val="left"/>
        <w:textAlignment w:val="center"/>
        <w:rPr>
          <w:rFonts w:hint="eastAsia" w:ascii="仿宋" w:hAnsi="仿宋" w:eastAsia="仿宋" w:cs="仿宋"/>
          <w:sz w:val="32"/>
          <w:szCs w:val="32"/>
        </w:rPr>
      </w:pPr>
      <w:r>
        <w:rPr>
          <w:rFonts w:hint="eastAsia" w:ascii="仿宋" w:hAnsi="仿宋" w:eastAsia="仿宋" w:cs="仿宋"/>
          <w:sz w:val="32"/>
          <w:szCs w:val="32"/>
        </w:rPr>
        <w:t>自学校验收合格后，按合同要求开具项目全额增值税专用发票，甲方收到发票后30日内，付合同总额的100%。</w:t>
      </w:r>
    </w:p>
    <w:p>
      <w:pPr>
        <w:spacing w:line="480" w:lineRule="exact"/>
        <w:ind w:firstLine="640" w:firstLineChars="200"/>
        <w:jc w:val="left"/>
        <w:textAlignment w:val="center"/>
        <w:rPr>
          <w:rFonts w:ascii="黑体" w:hAnsi="黑体" w:eastAsia="黑体" w:cs="黑体"/>
          <w:bCs/>
          <w:kern w:val="0"/>
          <w:sz w:val="32"/>
          <w:szCs w:val="32"/>
        </w:rPr>
      </w:pPr>
      <w:r>
        <w:rPr>
          <w:rFonts w:hint="eastAsia" w:ascii="黑体" w:hAnsi="黑体" w:eastAsia="黑体" w:cs="黑体"/>
          <w:bCs/>
          <w:kern w:val="0"/>
          <w:sz w:val="32"/>
          <w:szCs w:val="32"/>
        </w:rPr>
        <w:t>六、廉洁协议：</w:t>
      </w:r>
    </w:p>
    <w:p>
      <w:pPr>
        <w:spacing w:line="480" w:lineRule="exact"/>
        <w:ind w:firstLine="640" w:firstLineChars="200"/>
        <w:jc w:val="left"/>
        <w:textAlignment w:val="center"/>
        <w:rPr>
          <w:rFonts w:ascii="仿宋" w:hAnsi="仿宋" w:eastAsia="仿宋" w:cs="仿宋"/>
          <w:b/>
          <w:kern w:val="0"/>
          <w:sz w:val="32"/>
          <w:szCs w:val="32"/>
        </w:rPr>
      </w:pPr>
      <w:r>
        <w:rPr>
          <w:rFonts w:hint="eastAsia" w:ascii="仿宋" w:hAnsi="仿宋" w:eastAsia="仿宋" w:cs="仿宋"/>
          <w:sz w:val="32"/>
          <w:szCs w:val="32"/>
        </w:rPr>
        <w:t>乙方不得主动给予、甲方不得主动索要或接受乙方及其相关单位和人员提供的回扣、礼金、有价证券、支付凭证、贵重物品等，不得围标、串标，严格遵守商业道德和市场规则，共同营造公平公正的商务交易环境。一经发现，所有货物将免费赠送给甲方使用，全部货款不予支付。</w:t>
      </w:r>
    </w:p>
    <w:p>
      <w:pPr>
        <w:spacing w:line="480" w:lineRule="exact"/>
        <w:ind w:firstLine="640" w:firstLineChars="200"/>
        <w:jc w:val="left"/>
        <w:textAlignment w:val="center"/>
        <w:rPr>
          <w:rFonts w:ascii="黑体" w:hAnsi="黑体" w:eastAsia="黑体" w:cs="黑体"/>
          <w:bCs/>
          <w:kern w:val="0"/>
          <w:sz w:val="32"/>
          <w:szCs w:val="32"/>
        </w:rPr>
      </w:pPr>
      <w:r>
        <w:rPr>
          <w:rFonts w:hint="eastAsia" w:ascii="黑体" w:hAnsi="黑体" w:eastAsia="黑体" w:cs="黑体"/>
          <w:bCs/>
          <w:kern w:val="0"/>
          <w:sz w:val="32"/>
          <w:szCs w:val="32"/>
        </w:rPr>
        <w:t>七、开标时间及开标方式：</w:t>
      </w:r>
    </w:p>
    <w:p>
      <w:pPr>
        <w:spacing w:line="480" w:lineRule="exact"/>
        <w:ind w:firstLine="640" w:firstLineChars="200"/>
        <w:jc w:val="left"/>
        <w:textAlignment w:val="center"/>
        <w:rPr>
          <w:rFonts w:ascii="仿宋" w:hAnsi="仿宋" w:eastAsia="仿宋" w:cs="仿宋"/>
          <w:spacing w:val="-4"/>
          <w:kern w:val="0"/>
          <w:sz w:val="32"/>
          <w:szCs w:val="32"/>
        </w:rPr>
      </w:pPr>
      <w:r>
        <w:rPr>
          <w:rFonts w:hint="eastAsia" w:ascii="仿宋" w:hAnsi="仿宋" w:eastAsia="仿宋" w:cs="仿宋"/>
          <w:kern w:val="0"/>
          <w:sz w:val="32"/>
          <w:szCs w:val="32"/>
        </w:rPr>
        <w:t>1.线下：在安义校区新办公楼208会议室召开开标会议，法定代表人或授权及拟派本项目的负责人持合法证件按时到会并签到,未按时到达会议现场的,甲方有权取消其投标资格；邀标单位及投标单位确认投标文件无误后，以抽签方式，先后进入会场</w:t>
      </w:r>
      <w:r>
        <w:rPr>
          <w:rFonts w:hint="eastAsia" w:ascii="仿宋" w:hAnsi="仿宋" w:eastAsia="仿宋" w:cs="仿宋"/>
          <w:spacing w:val="-4"/>
          <w:kern w:val="0"/>
          <w:sz w:val="32"/>
          <w:szCs w:val="32"/>
        </w:rPr>
        <w:t>在15-20分钟之内</w:t>
      </w:r>
      <w:r>
        <w:rPr>
          <w:rFonts w:hint="eastAsia" w:ascii="仿宋" w:hAnsi="仿宋" w:eastAsia="仿宋" w:cs="仿宋"/>
          <w:kern w:val="0"/>
          <w:sz w:val="32"/>
          <w:szCs w:val="32"/>
        </w:rPr>
        <w:t>进行公司介绍、资质审核、成功案例、讲标；然后现场问答等；</w:t>
      </w:r>
      <w:r>
        <w:rPr>
          <w:rFonts w:hint="eastAsia" w:ascii="仿宋" w:hAnsi="仿宋" w:eastAsia="仿宋" w:cs="仿宋"/>
          <w:spacing w:val="-4"/>
          <w:kern w:val="0"/>
          <w:sz w:val="32"/>
          <w:szCs w:val="32"/>
        </w:rPr>
        <w:t>请项目方案技术人员到场，方便现场技术细节沟通。</w:t>
      </w:r>
    </w:p>
    <w:p>
      <w:pPr>
        <w:spacing w:line="480" w:lineRule="exact"/>
        <w:ind w:firstLine="624" w:firstLineChars="200"/>
        <w:jc w:val="left"/>
        <w:textAlignment w:val="center"/>
        <w:rPr>
          <w:rFonts w:ascii="仿宋" w:hAnsi="仿宋" w:eastAsia="仿宋" w:cs="仿宋"/>
          <w:kern w:val="0"/>
          <w:sz w:val="32"/>
          <w:szCs w:val="32"/>
        </w:rPr>
      </w:pPr>
      <w:r>
        <w:rPr>
          <w:rFonts w:hint="eastAsia" w:ascii="仿宋" w:hAnsi="仿宋" w:eastAsia="仿宋" w:cs="仿宋"/>
          <w:spacing w:val="-4"/>
          <w:kern w:val="0"/>
          <w:sz w:val="32"/>
          <w:szCs w:val="32"/>
        </w:rPr>
        <w:t>2.线上：通过腾讯视频会议APP举行，在15-20分钟之内视频进行</w:t>
      </w:r>
      <w:r>
        <w:rPr>
          <w:rFonts w:hint="eastAsia" w:ascii="仿宋" w:hAnsi="仿宋" w:eastAsia="仿宋" w:cs="仿宋"/>
          <w:kern w:val="0"/>
          <w:sz w:val="32"/>
          <w:szCs w:val="32"/>
        </w:rPr>
        <w:t>公司介绍、资质审核、成功案例、方案介绍；然后现场问答等。</w:t>
      </w:r>
      <w:r>
        <w:rPr>
          <w:rFonts w:hint="eastAsia" w:ascii="仿宋" w:hAnsi="仿宋" w:eastAsia="仿宋" w:cs="仿宋"/>
          <w:spacing w:val="-4"/>
          <w:kern w:val="0"/>
          <w:sz w:val="32"/>
          <w:szCs w:val="32"/>
        </w:rPr>
        <w:t>请项目方案技术人员远程在线，方便进行技术细节沟通。</w:t>
      </w:r>
    </w:p>
    <w:p>
      <w:pPr>
        <w:spacing w:line="480" w:lineRule="exact"/>
        <w:ind w:firstLine="640" w:firstLineChars="200"/>
        <w:jc w:val="left"/>
        <w:textAlignment w:val="center"/>
        <w:rPr>
          <w:rFonts w:ascii="仿宋" w:hAnsi="仿宋" w:eastAsia="仿宋" w:cs="仿宋"/>
          <w:kern w:val="0"/>
          <w:sz w:val="32"/>
          <w:szCs w:val="32"/>
        </w:rPr>
      </w:pPr>
      <w:r>
        <w:rPr>
          <w:rFonts w:hint="eastAsia" w:ascii="仿宋" w:hAnsi="仿宋" w:eastAsia="仿宋" w:cs="仿宋"/>
          <w:kern w:val="0"/>
          <w:sz w:val="32"/>
          <w:szCs w:val="32"/>
        </w:rPr>
        <w:t>3.具体开标方式，视情况另行通知。</w:t>
      </w:r>
    </w:p>
    <w:p>
      <w:pPr>
        <w:spacing w:line="480" w:lineRule="exact"/>
        <w:ind w:firstLine="640" w:firstLineChars="200"/>
        <w:jc w:val="left"/>
        <w:textAlignment w:val="center"/>
        <w:rPr>
          <w:rFonts w:ascii="黑体" w:hAnsi="黑体" w:eastAsia="黑体" w:cs="黑体"/>
          <w:bCs/>
          <w:kern w:val="0"/>
          <w:sz w:val="32"/>
          <w:szCs w:val="32"/>
        </w:rPr>
      </w:pPr>
      <w:r>
        <w:rPr>
          <w:rFonts w:hint="eastAsia" w:ascii="黑体" w:hAnsi="黑体" w:eastAsia="黑体" w:cs="黑体"/>
          <w:bCs/>
          <w:kern w:val="0"/>
          <w:sz w:val="32"/>
          <w:szCs w:val="32"/>
        </w:rPr>
        <w:t>八、甲方建设项目要求（详见附件清单）</w:t>
      </w:r>
    </w:p>
    <w:p>
      <w:pPr>
        <w:spacing w:line="480" w:lineRule="exact"/>
        <w:ind w:firstLine="643" w:firstLineChars="200"/>
        <w:textAlignment w:val="center"/>
        <w:rPr>
          <w:rFonts w:ascii="仿宋" w:hAnsi="仿宋" w:eastAsia="仿宋" w:cs="仿宋"/>
          <w:sz w:val="32"/>
          <w:szCs w:val="32"/>
        </w:rPr>
      </w:pPr>
      <w:r>
        <w:rPr>
          <w:rFonts w:hint="eastAsia" w:ascii="仿宋" w:hAnsi="仿宋" w:eastAsia="仿宋" w:cs="仿宋"/>
          <w:b/>
          <w:sz w:val="32"/>
          <w:szCs w:val="32"/>
        </w:rPr>
        <w:t>邀标单位：</w:t>
      </w:r>
      <w:r>
        <w:rPr>
          <w:rFonts w:hint="eastAsia" w:ascii="仿宋" w:hAnsi="仿宋" w:eastAsia="仿宋" w:cs="仿宋"/>
          <w:sz w:val="32"/>
          <w:szCs w:val="32"/>
        </w:rPr>
        <w:t>南昌职业大学（甲方）</w:t>
      </w:r>
    </w:p>
    <w:p>
      <w:pPr>
        <w:spacing w:line="480" w:lineRule="exact"/>
        <w:ind w:firstLine="643" w:firstLineChars="200"/>
        <w:textAlignment w:val="center"/>
        <w:rPr>
          <w:rFonts w:ascii="仿宋" w:hAnsi="仿宋" w:eastAsia="仿宋" w:cs="仿宋"/>
          <w:sz w:val="32"/>
          <w:szCs w:val="32"/>
        </w:rPr>
      </w:pPr>
      <w:r>
        <w:rPr>
          <w:rFonts w:hint="eastAsia" w:ascii="仿宋" w:hAnsi="仿宋" w:eastAsia="仿宋" w:cs="仿宋"/>
          <w:b/>
          <w:sz w:val="32"/>
          <w:szCs w:val="32"/>
        </w:rPr>
        <w:t>单位地址：</w:t>
      </w:r>
      <w:r>
        <w:rPr>
          <w:rFonts w:hint="eastAsia" w:ascii="仿宋" w:hAnsi="仿宋" w:eastAsia="仿宋" w:cs="仿宋"/>
          <w:sz w:val="32"/>
          <w:szCs w:val="32"/>
        </w:rPr>
        <w:t>江西省安义县前进东路8号</w:t>
      </w:r>
    </w:p>
    <w:p>
      <w:pPr>
        <w:spacing w:line="480" w:lineRule="exact"/>
        <w:ind w:firstLine="643" w:firstLineChars="200"/>
        <w:textAlignment w:val="center"/>
        <w:rPr>
          <w:rFonts w:ascii="仿宋" w:hAnsi="仿宋" w:eastAsia="仿宋" w:cs="仿宋"/>
          <w:sz w:val="32"/>
          <w:szCs w:val="32"/>
        </w:rPr>
      </w:pPr>
      <w:r>
        <w:rPr>
          <w:rFonts w:hint="eastAsia" w:ascii="仿宋" w:hAnsi="仿宋" w:eastAsia="仿宋" w:cs="仿宋"/>
          <w:b/>
          <w:sz w:val="32"/>
          <w:szCs w:val="32"/>
        </w:rPr>
        <w:t>发函时间：</w:t>
      </w: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年</w:t>
      </w:r>
      <w:r>
        <w:rPr>
          <w:rFonts w:hint="eastAsia" w:ascii="仿宋" w:hAnsi="仿宋" w:eastAsia="仿宋" w:cs="仿宋"/>
          <w:sz w:val="32"/>
          <w:szCs w:val="32"/>
          <w:lang w:val="en-US" w:eastAsia="zh-CN"/>
        </w:rPr>
        <w:t>8</w:t>
      </w:r>
      <w:r>
        <w:rPr>
          <w:rFonts w:hint="eastAsia" w:ascii="仿宋" w:hAnsi="仿宋" w:eastAsia="仿宋" w:cs="仿宋"/>
          <w:sz w:val="32"/>
          <w:szCs w:val="32"/>
        </w:rPr>
        <w:t>月</w:t>
      </w:r>
      <w:r>
        <w:rPr>
          <w:rFonts w:hint="eastAsia" w:ascii="仿宋" w:hAnsi="仿宋" w:eastAsia="仿宋" w:cs="仿宋"/>
          <w:sz w:val="32"/>
          <w:szCs w:val="32"/>
          <w:lang w:val="en-US" w:eastAsia="zh-CN"/>
        </w:rPr>
        <w:t>18</w:t>
      </w:r>
      <w:r>
        <w:rPr>
          <w:rFonts w:hint="eastAsia" w:ascii="仿宋" w:hAnsi="仿宋" w:eastAsia="仿宋" w:cs="仿宋"/>
          <w:sz w:val="32"/>
          <w:szCs w:val="32"/>
        </w:rPr>
        <w:t>日</w:t>
      </w:r>
    </w:p>
    <w:p>
      <w:pPr>
        <w:spacing w:line="480" w:lineRule="exact"/>
        <w:ind w:firstLine="643" w:firstLineChars="200"/>
        <w:textAlignment w:val="center"/>
        <w:rPr>
          <w:rFonts w:hint="default" w:ascii="仿宋" w:hAnsi="仿宋" w:eastAsia="仿宋" w:cs="仿宋"/>
          <w:sz w:val="32"/>
          <w:szCs w:val="32"/>
          <w:lang w:val="en-US" w:eastAsia="zh-CN"/>
        </w:rPr>
      </w:pPr>
      <w:r>
        <w:rPr>
          <w:rFonts w:hint="eastAsia" w:ascii="仿宋" w:hAnsi="仿宋" w:eastAsia="仿宋" w:cs="仿宋"/>
          <w:b/>
          <w:sz w:val="32"/>
          <w:szCs w:val="32"/>
        </w:rPr>
        <w:t>联系人：</w:t>
      </w:r>
      <w:r>
        <w:rPr>
          <w:rFonts w:hint="eastAsia" w:ascii="仿宋" w:hAnsi="仿宋" w:eastAsia="仿宋" w:cs="仿宋"/>
          <w:b/>
          <w:sz w:val="32"/>
          <w:szCs w:val="32"/>
          <w:lang w:val="en-US" w:eastAsia="zh-CN"/>
        </w:rPr>
        <w:t>谭老师13870912862</w:t>
      </w:r>
    </w:p>
    <w:p>
      <w:pPr>
        <w:ind w:firstLine="560" w:firstLineChars="200"/>
        <w:rPr>
          <w:sz w:val="28"/>
          <w:szCs w:val="28"/>
        </w:rPr>
      </w:pPr>
    </w:p>
    <w:p>
      <w:pPr>
        <w:rPr>
          <w:sz w:val="28"/>
          <w:szCs w:val="28"/>
        </w:rPr>
      </w:pPr>
    </w:p>
    <w:p>
      <w:pPr>
        <w:rPr>
          <w:rFonts w:hint="eastAsia" w:ascii="黑体" w:hAnsi="黑体" w:eastAsia="黑体" w:cs="黑体"/>
          <w:bCs/>
          <w:sz w:val="32"/>
          <w:szCs w:val="32"/>
        </w:rPr>
      </w:pPr>
      <w:r>
        <w:rPr>
          <w:rFonts w:hint="eastAsia" w:ascii="黑体" w:hAnsi="黑体" w:eastAsia="黑体" w:cs="黑体"/>
          <w:bCs/>
          <w:sz w:val="32"/>
          <w:szCs w:val="32"/>
        </w:rPr>
        <w:t>附件一:</w:t>
      </w:r>
    </w:p>
    <w:p>
      <w:pPr>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教学楼</w:t>
      </w:r>
    </w:p>
    <w:tbl>
      <w:tblPr>
        <w:tblpPr w:leftFromText="180" w:rightFromText="180" w:vertAnchor="text" w:horzAnchor="page" w:tblpX="643" w:tblpY="635"/>
        <w:tblOverlap w:val="never"/>
        <w:tblW w:w="157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89"/>
        <w:gridCol w:w="990"/>
        <w:gridCol w:w="836"/>
        <w:gridCol w:w="2160"/>
        <w:gridCol w:w="1220"/>
        <w:gridCol w:w="700"/>
        <w:gridCol w:w="790"/>
        <w:gridCol w:w="5820"/>
        <w:gridCol w:w="860"/>
        <w:gridCol w:w="840"/>
        <w:gridCol w:w="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61" w:hRule="atLeast"/>
        </w:trPr>
        <w:tc>
          <w:tcPr>
            <w:tcW w:w="989"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区域</w:t>
            </w:r>
          </w:p>
        </w:tc>
        <w:tc>
          <w:tcPr>
            <w:tcW w:w="990"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序号</w:t>
            </w:r>
          </w:p>
        </w:tc>
        <w:tc>
          <w:tcPr>
            <w:tcW w:w="836"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品名</w:t>
            </w:r>
          </w:p>
        </w:tc>
        <w:tc>
          <w:tcPr>
            <w:tcW w:w="2160"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图样</w:t>
            </w:r>
          </w:p>
        </w:tc>
        <w:tc>
          <w:tcPr>
            <w:tcW w:w="1220"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规格</w:t>
            </w:r>
          </w:p>
        </w:tc>
        <w:tc>
          <w:tcPr>
            <w:tcW w:w="700"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数量</w:t>
            </w:r>
          </w:p>
        </w:tc>
        <w:tc>
          <w:tcPr>
            <w:tcW w:w="790"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单位</w:t>
            </w:r>
          </w:p>
        </w:tc>
        <w:tc>
          <w:tcPr>
            <w:tcW w:w="5820" w:type="dxa"/>
            <w:tcBorders>
              <w:top w:val="nil"/>
              <w:left w:val="single" w:color="000000" w:sz="4" w:space="0"/>
              <w:bottom w:val="nil"/>
              <w:right w:val="nil"/>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材质说明</w:t>
            </w:r>
          </w:p>
        </w:tc>
        <w:tc>
          <w:tcPr>
            <w:tcW w:w="860" w:type="dxa"/>
            <w:tcBorders>
              <w:top w:val="nil"/>
              <w:left w:val="single" w:color="000000" w:sz="4" w:space="0"/>
              <w:bottom w:val="nil"/>
              <w:right w:val="nil"/>
            </w:tcBorders>
            <w:shd w:val="clear" w:color="auto" w:fill="808080"/>
            <w:vAlign w:val="center"/>
          </w:tcPr>
          <w:p>
            <w:pPr>
              <w:keepNext w:val="0"/>
              <w:keepLines w:val="0"/>
              <w:widowControl/>
              <w:suppressLineNumbers w:val="0"/>
              <w:jc w:val="center"/>
              <w:textAlignment w:val="center"/>
              <w:rPr>
                <w:rFonts w:hint="default" w:ascii="仿宋" w:hAnsi="仿宋" w:eastAsia="仿宋" w:cs="仿宋"/>
                <w:b/>
                <w:bCs/>
                <w:i w:val="0"/>
                <w:iCs w:val="0"/>
                <w:color w:val="FFFFFF"/>
                <w:kern w:val="0"/>
                <w:sz w:val="24"/>
                <w:szCs w:val="24"/>
                <w:u w:val="none"/>
                <w:bdr w:val="none" w:color="auto" w:sz="0" w:space="0"/>
                <w:lang w:val="en-US" w:eastAsia="zh-CN" w:bidi="ar"/>
              </w:rPr>
            </w:pPr>
            <w:r>
              <w:rPr>
                <w:rFonts w:hint="eastAsia" w:ascii="仿宋" w:hAnsi="仿宋" w:eastAsia="仿宋" w:cs="仿宋"/>
                <w:b/>
                <w:bCs/>
                <w:i w:val="0"/>
                <w:iCs w:val="0"/>
                <w:color w:val="FFFFFF"/>
                <w:kern w:val="0"/>
                <w:sz w:val="24"/>
                <w:szCs w:val="24"/>
                <w:u w:val="none"/>
                <w:bdr w:val="none" w:color="auto" w:sz="0" w:space="0"/>
                <w:lang w:val="en-US" w:eastAsia="zh-CN" w:bidi="ar"/>
              </w:rPr>
              <w:t>应标参数</w:t>
            </w:r>
          </w:p>
        </w:tc>
        <w:tc>
          <w:tcPr>
            <w:tcW w:w="840" w:type="dxa"/>
            <w:tcBorders>
              <w:top w:val="nil"/>
              <w:left w:val="single" w:color="000000" w:sz="4" w:space="0"/>
              <w:bottom w:val="nil"/>
              <w:right w:val="nil"/>
            </w:tcBorders>
            <w:shd w:val="clear" w:color="auto" w:fill="808080"/>
            <w:vAlign w:val="center"/>
          </w:tcPr>
          <w:p>
            <w:pPr>
              <w:keepNext w:val="0"/>
              <w:keepLines w:val="0"/>
              <w:widowControl/>
              <w:suppressLineNumbers w:val="0"/>
              <w:jc w:val="center"/>
              <w:textAlignment w:val="center"/>
              <w:rPr>
                <w:rFonts w:hint="default" w:ascii="仿宋" w:hAnsi="仿宋" w:eastAsia="仿宋" w:cs="仿宋"/>
                <w:b/>
                <w:bCs/>
                <w:i w:val="0"/>
                <w:iCs w:val="0"/>
                <w:color w:val="FFFFFF"/>
                <w:kern w:val="0"/>
                <w:sz w:val="24"/>
                <w:szCs w:val="24"/>
                <w:u w:val="none"/>
                <w:bdr w:val="none" w:color="auto" w:sz="0" w:space="0"/>
                <w:lang w:val="en-US" w:eastAsia="zh-CN" w:bidi="ar"/>
              </w:rPr>
            </w:pPr>
            <w:r>
              <w:rPr>
                <w:rFonts w:hint="eastAsia" w:ascii="仿宋" w:hAnsi="仿宋" w:eastAsia="仿宋" w:cs="仿宋"/>
                <w:b/>
                <w:bCs/>
                <w:i w:val="0"/>
                <w:iCs w:val="0"/>
                <w:color w:val="FFFFFF"/>
                <w:kern w:val="0"/>
                <w:sz w:val="24"/>
                <w:szCs w:val="24"/>
                <w:u w:val="none"/>
                <w:bdr w:val="none" w:color="auto" w:sz="0" w:space="0"/>
                <w:lang w:val="en-US" w:eastAsia="zh-CN" w:bidi="ar"/>
              </w:rPr>
              <w:t>单价</w:t>
            </w:r>
          </w:p>
        </w:tc>
        <w:tc>
          <w:tcPr>
            <w:tcW w:w="590" w:type="dxa"/>
            <w:tcBorders>
              <w:top w:val="nil"/>
              <w:left w:val="single" w:color="000000" w:sz="4" w:space="0"/>
              <w:bottom w:val="nil"/>
              <w:right w:val="nil"/>
            </w:tcBorders>
            <w:shd w:val="clear" w:color="auto" w:fill="808080"/>
            <w:vAlign w:val="center"/>
          </w:tcPr>
          <w:p>
            <w:pPr>
              <w:keepNext w:val="0"/>
              <w:keepLines w:val="0"/>
              <w:widowControl/>
              <w:suppressLineNumbers w:val="0"/>
              <w:jc w:val="center"/>
              <w:textAlignment w:val="center"/>
              <w:rPr>
                <w:rFonts w:hint="default" w:ascii="仿宋" w:hAnsi="仿宋" w:eastAsia="仿宋" w:cs="仿宋"/>
                <w:b/>
                <w:bCs/>
                <w:i w:val="0"/>
                <w:iCs w:val="0"/>
                <w:color w:val="FFFFFF"/>
                <w:kern w:val="0"/>
                <w:sz w:val="24"/>
                <w:szCs w:val="24"/>
                <w:u w:val="none"/>
                <w:bdr w:val="none" w:color="auto" w:sz="0" w:space="0"/>
                <w:lang w:val="en-US" w:eastAsia="zh-CN" w:bidi="ar"/>
              </w:rPr>
            </w:pPr>
            <w:r>
              <w:rPr>
                <w:rFonts w:hint="eastAsia" w:ascii="仿宋" w:hAnsi="仿宋" w:eastAsia="仿宋" w:cs="仿宋"/>
                <w:b/>
                <w:bCs/>
                <w:i w:val="0"/>
                <w:iCs w:val="0"/>
                <w:color w:val="FFFFFF"/>
                <w:kern w:val="0"/>
                <w:sz w:val="24"/>
                <w:szCs w:val="24"/>
                <w:u w:val="none"/>
                <w:bdr w:val="none" w:color="auto" w:sz="0" w:space="0"/>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61" w:hRule="atLeast"/>
        </w:trPr>
        <w:tc>
          <w:tcPr>
            <w:tcW w:w="13505" w:type="dxa"/>
            <w:gridSpan w:val="8"/>
            <w:tcBorders>
              <w:top w:val="nil"/>
              <w:left w:val="nil"/>
              <w:bottom w:val="single" w:color="000000" w:sz="4" w:space="0"/>
              <w:right w:val="nil"/>
            </w:tcBorders>
            <w:shd w:val="clear" w:color="auto" w:fill="A6A6A6"/>
            <w:vAlign w:val="center"/>
          </w:tcPr>
          <w:p>
            <w:pPr>
              <w:jc w:val="center"/>
              <w:rPr>
                <w:rFonts w:hint="eastAsia" w:ascii="仿宋" w:hAnsi="仿宋" w:eastAsia="仿宋" w:cs="仿宋"/>
                <w:b/>
                <w:bCs/>
                <w:i w:val="0"/>
                <w:iCs w:val="0"/>
                <w:color w:val="000000"/>
                <w:sz w:val="22"/>
                <w:szCs w:val="22"/>
                <w:u w:val="none"/>
              </w:rPr>
            </w:pPr>
          </w:p>
        </w:tc>
        <w:tc>
          <w:tcPr>
            <w:tcW w:w="860" w:type="dxa"/>
            <w:tcBorders>
              <w:top w:val="nil"/>
              <w:left w:val="nil"/>
              <w:bottom w:val="single" w:color="000000" w:sz="4" w:space="0"/>
              <w:right w:val="nil"/>
            </w:tcBorders>
            <w:shd w:val="clear" w:color="auto" w:fill="A6A6A6"/>
            <w:vAlign w:val="center"/>
          </w:tcPr>
          <w:p>
            <w:pPr>
              <w:jc w:val="center"/>
              <w:rPr>
                <w:rFonts w:hint="eastAsia" w:ascii="仿宋" w:hAnsi="仿宋" w:eastAsia="仿宋" w:cs="仿宋"/>
                <w:b/>
                <w:bCs/>
                <w:i w:val="0"/>
                <w:iCs w:val="0"/>
                <w:color w:val="000000"/>
                <w:sz w:val="22"/>
                <w:szCs w:val="22"/>
                <w:u w:val="none"/>
              </w:rPr>
            </w:pPr>
          </w:p>
        </w:tc>
        <w:tc>
          <w:tcPr>
            <w:tcW w:w="840" w:type="dxa"/>
            <w:tcBorders>
              <w:top w:val="nil"/>
              <w:left w:val="nil"/>
              <w:bottom w:val="single" w:color="000000" w:sz="4" w:space="0"/>
              <w:right w:val="nil"/>
            </w:tcBorders>
            <w:shd w:val="clear" w:color="auto" w:fill="A6A6A6"/>
            <w:vAlign w:val="center"/>
          </w:tcPr>
          <w:p>
            <w:pPr>
              <w:jc w:val="center"/>
              <w:rPr>
                <w:rFonts w:hint="eastAsia" w:ascii="仿宋" w:hAnsi="仿宋" w:eastAsia="仿宋" w:cs="仿宋"/>
                <w:b/>
                <w:bCs/>
                <w:i w:val="0"/>
                <w:iCs w:val="0"/>
                <w:color w:val="000000"/>
                <w:sz w:val="22"/>
                <w:szCs w:val="22"/>
                <w:u w:val="none"/>
              </w:rPr>
            </w:pPr>
          </w:p>
        </w:tc>
        <w:tc>
          <w:tcPr>
            <w:tcW w:w="590" w:type="dxa"/>
            <w:tcBorders>
              <w:top w:val="nil"/>
              <w:left w:val="nil"/>
              <w:bottom w:val="single" w:color="000000" w:sz="4" w:space="0"/>
              <w:right w:val="nil"/>
            </w:tcBorders>
            <w:shd w:val="clear" w:color="auto" w:fill="A6A6A6"/>
            <w:vAlign w:val="center"/>
          </w:tcPr>
          <w:p>
            <w:pPr>
              <w:jc w:val="center"/>
              <w:rPr>
                <w:rFonts w:hint="eastAsia" w:ascii="仿宋" w:hAnsi="仿宋" w:eastAsia="仿宋" w:cs="仿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420" w:hRule="atLeast"/>
        </w:trPr>
        <w:tc>
          <w:tcPr>
            <w:tcW w:w="989"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t xml:space="preserve">大教室 </w:t>
            </w: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8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讲台</w:t>
            </w:r>
          </w:p>
        </w:tc>
        <w:tc>
          <w:tcPr>
            <w:tcW w:w="216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460375</wp:posOffset>
                  </wp:positionV>
                  <wp:extent cx="813435" cy="1096010"/>
                  <wp:effectExtent l="0" t="0" r="12065" b="8890"/>
                  <wp:wrapNone/>
                  <wp:docPr id="132" name="图片_683"/>
                  <wp:cNvGraphicFramePr/>
                  <a:graphic xmlns:a="http://schemas.openxmlformats.org/drawingml/2006/main">
                    <a:graphicData uri="http://schemas.openxmlformats.org/drawingml/2006/picture">
                      <pic:pic xmlns:pic="http://schemas.openxmlformats.org/drawingml/2006/picture">
                        <pic:nvPicPr>
                          <pic:cNvPr id="132" name="图片_683"/>
                          <pic:cNvPicPr/>
                        </pic:nvPicPr>
                        <pic:blipFill>
                          <a:blip r:embed="rId4"/>
                          <a:stretch>
                            <a:fillRect/>
                          </a:stretch>
                        </pic:blipFill>
                        <pic:spPr>
                          <a:xfrm>
                            <a:off x="0" y="0"/>
                            <a:ext cx="813435" cy="1096010"/>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800*680*1000</w:t>
            </w:r>
          </w:p>
        </w:tc>
        <w:tc>
          <w:tcPr>
            <w:tcW w:w="70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5820" w:type="dxa"/>
            <w:tcBorders>
              <w:top w:val="nil"/>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工艺:脱脂、磷化、静电喷塑、溜平固化，重点部位须采用一次冲压成型技术;所有钣金部分均采用激光切割加工，所有尖角倒圆角不小于 R3，保证使用者和维护者不划伤。</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1、合理的尺寸设计，合理的设备安排，国标19英寸机架，真正做到防盗功能。</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2、采用1.2mm厚优质冷轧钢板，钢木结合材料一体成型;实木橡木扶手;桌面木质耐划台面;全封闭式结构，保障了多媒体设备的安全性。</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3、台面平面设计，可放笔记本电脑。</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4、正前方两个储物抽屉，可放杂物。</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5、整体采用分体式结构，上下两部分采用分体组装。</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7、桌体下层内部采用标准机柜设计，带层板，所有设备可整齐固定。</w:t>
            </w:r>
          </w:p>
        </w:tc>
        <w:tc>
          <w:tcPr>
            <w:tcW w:w="860" w:type="dxa"/>
            <w:tcBorders>
              <w:top w:val="nil"/>
              <w:left w:val="single" w:color="000000" w:sz="4" w:space="0"/>
              <w:bottom w:val="single" w:color="000000" w:sz="4" w:space="0"/>
              <w:right w:val="nil"/>
            </w:tcBorders>
            <w:shd w:val="clear"/>
            <w:vAlign w:val="center"/>
          </w:tcPr>
          <w:p>
            <w:pPr>
              <w:keepNext w:val="0"/>
              <w:keepLines w:val="0"/>
              <w:widowControl/>
              <w:suppressLineNumbers w:val="0"/>
              <w:ind w:left="-199" w:leftChars="-95" w:firstLine="199" w:firstLineChars="111"/>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nil"/>
              <w:left w:val="single" w:color="000000" w:sz="4" w:space="0"/>
              <w:bottom w:val="single" w:color="000000" w:sz="4" w:space="0"/>
              <w:right w:val="nil"/>
            </w:tcBorders>
            <w:shd w:val="clear"/>
            <w:vAlign w:val="center"/>
          </w:tcPr>
          <w:p>
            <w:pPr>
              <w:keepNext w:val="0"/>
              <w:keepLines w:val="0"/>
              <w:widowControl/>
              <w:suppressLineNumbers w:val="0"/>
              <w:ind w:left="-199" w:leftChars="-95" w:firstLine="199" w:firstLineChars="111"/>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nil"/>
              <w:left w:val="single" w:color="000000" w:sz="4" w:space="0"/>
              <w:bottom w:val="single" w:color="000000" w:sz="4" w:space="0"/>
              <w:right w:val="nil"/>
            </w:tcBorders>
            <w:shd w:val="clear"/>
            <w:vAlign w:val="center"/>
          </w:tcPr>
          <w:p>
            <w:pPr>
              <w:keepNext w:val="0"/>
              <w:keepLines w:val="0"/>
              <w:widowControl/>
              <w:suppressLineNumbers w:val="0"/>
              <w:ind w:left="-199" w:leftChars="-95" w:firstLine="199" w:firstLineChars="111"/>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61"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w:t>
            </w:r>
          </w:p>
        </w:tc>
        <w:tc>
          <w:tcPr>
            <w:tcW w:w="836"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课桌</w:t>
            </w:r>
          </w:p>
        </w:tc>
        <w:tc>
          <w:tcPr>
            <w:tcW w:w="2160"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618490</wp:posOffset>
                  </wp:positionV>
                  <wp:extent cx="1722120" cy="731520"/>
                  <wp:effectExtent l="0" t="0" r="5080" b="5080"/>
                  <wp:wrapNone/>
                  <wp:docPr id="127" name="图片_678"/>
                  <wp:cNvGraphicFramePr/>
                  <a:graphic xmlns:a="http://schemas.openxmlformats.org/drawingml/2006/main">
                    <a:graphicData uri="http://schemas.openxmlformats.org/drawingml/2006/picture">
                      <pic:pic xmlns:pic="http://schemas.openxmlformats.org/drawingml/2006/picture">
                        <pic:nvPicPr>
                          <pic:cNvPr id="127" name="图片_678"/>
                          <pic:cNvPicPr/>
                        </pic:nvPicPr>
                        <pic:blipFill>
                          <a:blip r:embed="rId5"/>
                          <a:stretch>
                            <a:fillRect/>
                          </a:stretch>
                        </pic:blipFill>
                        <pic:spPr>
                          <a:xfrm>
                            <a:off x="0" y="0"/>
                            <a:ext cx="1722120" cy="731520"/>
                          </a:xfrm>
                          <a:prstGeom prst="rect">
                            <a:avLst/>
                          </a:prstGeom>
                          <a:noFill/>
                          <a:ln>
                            <a:noFill/>
                          </a:ln>
                        </pic:spPr>
                      </pic:pic>
                    </a:graphicData>
                  </a:graphic>
                </wp:anchor>
              </w:drawing>
            </w:r>
          </w:p>
        </w:tc>
        <w:tc>
          <w:tcPr>
            <w:tcW w:w="1220" w:type="dxa"/>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1200W*450D*750H</w:t>
            </w:r>
          </w:p>
        </w:tc>
        <w:tc>
          <w:tcPr>
            <w:tcW w:w="700"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96</w:t>
            </w:r>
          </w:p>
        </w:tc>
        <w:tc>
          <w:tcPr>
            <w:tcW w:w="790"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5820" w:type="dxa"/>
            <w:tcBorders>
              <w:top w:val="nil"/>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1.台面板：采用25厚E0级三胺刨花板基材</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 xml:space="preserve">2.台面支撑组件：圆管，铝合金支架 </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4.抽屉：铁网书包网</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5.脚垫：采用PP+玻纤材料经模具压注成型。</w:t>
            </w:r>
          </w:p>
        </w:tc>
        <w:tc>
          <w:tcPr>
            <w:tcW w:w="860" w:type="dxa"/>
            <w:tcBorders>
              <w:top w:val="nil"/>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nil"/>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nil"/>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课椅</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77470</wp:posOffset>
                  </wp:positionH>
                  <wp:positionV relativeFrom="paragraph">
                    <wp:posOffset>1357630</wp:posOffset>
                  </wp:positionV>
                  <wp:extent cx="1721485" cy="240665"/>
                  <wp:effectExtent l="0" t="0" r="5715" b="635"/>
                  <wp:wrapNone/>
                  <wp:docPr id="134" name="图片_564"/>
                  <wp:cNvGraphicFramePr/>
                  <a:graphic xmlns:a="http://schemas.openxmlformats.org/drawingml/2006/main">
                    <a:graphicData uri="http://schemas.openxmlformats.org/drawingml/2006/picture">
                      <pic:pic xmlns:pic="http://schemas.openxmlformats.org/drawingml/2006/picture">
                        <pic:nvPicPr>
                          <pic:cNvPr id="134" name="图片_564"/>
                          <pic:cNvPicPr/>
                        </pic:nvPicPr>
                        <pic:blipFill>
                          <a:blip r:embed="rId6"/>
                          <a:stretch>
                            <a:fillRect/>
                          </a:stretch>
                        </pic:blipFill>
                        <pic:spPr>
                          <a:xfrm>
                            <a:off x="0" y="0"/>
                            <a:ext cx="1721485" cy="24066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377190</wp:posOffset>
                  </wp:positionH>
                  <wp:positionV relativeFrom="paragraph">
                    <wp:posOffset>172085</wp:posOffset>
                  </wp:positionV>
                  <wp:extent cx="916305" cy="1134110"/>
                  <wp:effectExtent l="0" t="0" r="10795" b="8890"/>
                  <wp:wrapNone/>
                  <wp:docPr id="124" name="图片_563"/>
                  <wp:cNvGraphicFramePr/>
                  <a:graphic xmlns:a="http://schemas.openxmlformats.org/drawingml/2006/main">
                    <a:graphicData uri="http://schemas.openxmlformats.org/drawingml/2006/picture">
                      <pic:pic xmlns:pic="http://schemas.openxmlformats.org/drawingml/2006/picture">
                        <pic:nvPicPr>
                          <pic:cNvPr id="124" name="图片_563"/>
                          <pic:cNvPicPr/>
                        </pic:nvPicPr>
                        <pic:blipFill>
                          <a:blip r:embed="rId7"/>
                          <a:stretch>
                            <a:fillRect/>
                          </a:stretch>
                        </pic:blipFill>
                        <pic:spPr>
                          <a:xfrm>
                            <a:off x="0" y="0"/>
                            <a:ext cx="916305" cy="1134110"/>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515W*475D*780H</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192</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把</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25" name="AutoShape_1158"/>
                  <wp:cNvGraphicFramePr/>
                  <a:graphic xmlns:a="http://schemas.openxmlformats.org/drawingml/2006/main">
                    <a:graphicData uri="http://schemas.openxmlformats.org/drawingml/2006/picture">
                      <pic:pic xmlns:pic="http://schemas.openxmlformats.org/drawingml/2006/picture">
                        <pic:nvPicPr>
                          <pic:cNvPr id="125" name="AutoShape_1158"/>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33" name="AutoShape_1158_SpCnt_1"/>
                  <wp:cNvGraphicFramePr/>
                  <a:graphic xmlns:a="http://schemas.openxmlformats.org/drawingml/2006/main">
                    <a:graphicData uri="http://schemas.openxmlformats.org/drawingml/2006/picture">
                      <pic:pic xmlns:pic="http://schemas.openxmlformats.org/drawingml/2006/picture">
                        <pic:nvPicPr>
                          <pic:cNvPr id="133" name="AutoShape_1158_SpCnt_1"/>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26" name="AutoShape_1158_SpCnt_2"/>
                  <wp:cNvGraphicFramePr/>
                  <a:graphic xmlns:a="http://schemas.openxmlformats.org/drawingml/2006/main">
                    <a:graphicData uri="http://schemas.openxmlformats.org/drawingml/2006/picture">
                      <pic:pic xmlns:pic="http://schemas.openxmlformats.org/drawingml/2006/picture">
                        <pic:nvPicPr>
                          <pic:cNvPr id="126" name="AutoShape_1158_SpCnt_2"/>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31" name="AutoShape_1158_SpCnt_3"/>
                  <wp:cNvGraphicFramePr/>
                  <a:graphic xmlns:a="http://schemas.openxmlformats.org/drawingml/2006/main">
                    <a:graphicData uri="http://schemas.openxmlformats.org/drawingml/2006/picture">
                      <pic:pic xmlns:pic="http://schemas.openxmlformats.org/drawingml/2006/picture">
                        <pic:nvPicPr>
                          <pic:cNvPr id="131" name="AutoShape_1158_SpCnt_3"/>
                          <pic:cNvPicPr/>
                        </pic:nvPicPr>
                        <pic:blipFill>
                          <a:blip r:embed="rId9"/>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28" name="AutoShape_1158_SpCnt_4"/>
                  <wp:cNvGraphicFramePr/>
                  <a:graphic xmlns:a="http://schemas.openxmlformats.org/drawingml/2006/main">
                    <a:graphicData uri="http://schemas.openxmlformats.org/drawingml/2006/picture">
                      <pic:pic xmlns:pic="http://schemas.openxmlformats.org/drawingml/2006/picture">
                        <pic:nvPicPr>
                          <pic:cNvPr id="128" name="AutoShape_1158_SpCnt_4"/>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29" name="AutoShape_1158_SpCnt_5"/>
                  <wp:cNvGraphicFramePr/>
                  <a:graphic xmlns:a="http://schemas.openxmlformats.org/drawingml/2006/main">
                    <a:graphicData uri="http://schemas.openxmlformats.org/drawingml/2006/picture">
                      <pic:pic xmlns:pic="http://schemas.openxmlformats.org/drawingml/2006/picture">
                        <pic:nvPicPr>
                          <pic:cNvPr id="129" name="AutoShape_1158_SpCnt_5"/>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30" name="AutoShape_1158_SpCnt_6"/>
                  <wp:cNvGraphicFramePr/>
                  <a:graphic xmlns:a="http://schemas.openxmlformats.org/drawingml/2006/main">
                    <a:graphicData uri="http://schemas.openxmlformats.org/drawingml/2006/picture">
                      <pic:pic xmlns:pic="http://schemas.openxmlformats.org/drawingml/2006/picture">
                        <pic:nvPicPr>
                          <pic:cNvPr id="130" name="AutoShape_1158_SpCnt_6"/>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64" name="AutoShape_1158_SpCnt_7"/>
                  <wp:cNvGraphicFramePr/>
                  <a:graphic xmlns:a="http://schemas.openxmlformats.org/drawingml/2006/main">
                    <a:graphicData uri="http://schemas.openxmlformats.org/drawingml/2006/picture">
                      <pic:pic xmlns:pic="http://schemas.openxmlformats.org/drawingml/2006/picture">
                        <pic:nvPicPr>
                          <pic:cNvPr id="164" name="AutoShape_1158_SpCnt_7"/>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42" name="AutoShape_1158_SpCnt_8"/>
                  <wp:cNvGraphicFramePr/>
                  <a:graphic xmlns:a="http://schemas.openxmlformats.org/drawingml/2006/main">
                    <a:graphicData uri="http://schemas.openxmlformats.org/drawingml/2006/picture">
                      <pic:pic xmlns:pic="http://schemas.openxmlformats.org/drawingml/2006/picture">
                        <pic:nvPicPr>
                          <pic:cNvPr id="142" name="AutoShape_1158_SpCnt_8"/>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62" name="AutoShape_1158_SpCnt_9"/>
                  <wp:cNvGraphicFramePr/>
                  <a:graphic xmlns:a="http://schemas.openxmlformats.org/drawingml/2006/main">
                    <a:graphicData uri="http://schemas.openxmlformats.org/drawingml/2006/picture">
                      <pic:pic xmlns:pic="http://schemas.openxmlformats.org/drawingml/2006/picture">
                        <pic:nvPicPr>
                          <pic:cNvPr id="162" name="AutoShape_1158_SpCnt_9"/>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66" name="AutoShape_1158_SpCnt_10"/>
                  <wp:cNvGraphicFramePr/>
                  <a:graphic xmlns:a="http://schemas.openxmlformats.org/drawingml/2006/main">
                    <a:graphicData uri="http://schemas.openxmlformats.org/drawingml/2006/picture">
                      <pic:pic xmlns:pic="http://schemas.openxmlformats.org/drawingml/2006/picture">
                        <pic:nvPicPr>
                          <pic:cNvPr id="166" name="AutoShape_1158_SpCnt_10"/>
                          <pic:cNvPicPr/>
                        </pic:nvPicPr>
                        <pic:blipFill>
                          <a:blip r:embed="rId10"/>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43" name="AutoShape_1158_SpCnt_11"/>
                  <wp:cNvGraphicFramePr/>
                  <a:graphic xmlns:a="http://schemas.openxmlformats.org/drawingml/2006/main">
                    <a:graphicData uri="http://schemas.openxmlformats.org/drawingml/2006/picture">
                      <pic:pic xmlns:pic="http://schemas.openxmlformats.org/drawingml/2006/picture">
                        <pic:nvPicPr>
                          <pic:cNvPr id="143" name="AutoShape_1158_SpCnt_11"/>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51" name="AutoShape_1158_SpCnt_12"/>
                  <wp:cNvGraphicFramePr/>
                  <a:graphic xmlns:a="http://schemas.openxmlformats.org/drawingml/2006/main">
                    <a:graphicData uri="http://schemas.openxmlformats.org/drawingml/2006/picture">
                      <pic:pic xmlns:pic="http://schemas.openxmlformats.org/drawingml/2006/picture">
                        <pic:nvPicPr>
                          <pic:cNvPr id="151" name="AutoShape_1158_SpCnt_12"/>
                          <pic:cNvPicPr/>
                        </pic:nvPicPr>
                        <pic:blipFill>
                          <a:blip r:embed="rId11"/>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41" name="AutoShape_1158_SpCnt_13"/>
                  <wp:cNvGraphicFramePr/>
                  <a:graphic xmlns:a="http://schemas.openxmlformats.org/drawingml/2006/main">
                    <a:graphicData uri="http://schemas.openxmlformats.org/drawingml/2006/picture">
                      <pic:pic xmlns:pic="http://schemas.openxmlformats.org/drawingml/2006/picture">
                        <pic:nvPicPr>
                          <pic:cNvPr id="141" name="AutoShape_1158_SpCnt_13"/>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52" name="AutoShape_1158_SpCnt_14"/>
                  <wp:cNvGraphicFramePr/>
                  <a:graphic xmlns:a="http://schemas.openxmlformats.org/drawingml/2006/main">
                    <a:graphicData uri="http://schemas.openxmlformats.org/drawingml/2006/picture">
                      <pic:pic xmlns:pic="http://schemas.openxmlformats.org/drawingml/2006/picture">
                        <pic:nvPicPr>
                          <pic:cNvPr id="152" name="AutoShape_1158_SpCnt_14"/>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none" w:color="auto" w:sz="0" w:space="0"/>
                <w:lang w:val="en-US" w:eastAsia="zh-CN" w:bidi="ar"/>
              </w:rPr>
              <w:t>1.站管：采用Ф25*2mm厚的圆管一体折弯成型。</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2.椅座连接横管：采用Ф25*1.5mm圆管焊接成形。</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3.连体椅面：采用高强度改性PP（聚炳稀）材料经模具压注成形，两侧作加强加厚处理，最厚处厚度达15mm；椅面后背设有加厚加强条，以确保其10度角的舒适弹性下同时保持足够承托强度。</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4.金属饰面：金属表面经高温静电喷粉工艺处理。</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5.外型： 按人体工程学设计，线条流畅，座感舒适，背部包裹性好。</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t>中教室</w:t>
            </w: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w:t>
            </w:r>
          </w:p>
        </w:tc>
        <w:tc>
          <w:tcPr>
            <w:tcW w:w="836"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讲台</w:t>
            </w:r>
          </w:p>
        </w:tc>
        <w:tc>
          <w:tcPr>
            <w:tcW w:w="2160"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299720</wp:posOffset>
                  </wp:positionH>
                  <wp:positionV relativeFrom="paragraph">
                    <wp:posOffset>493395</wp:posOffset>
                  </wp:positionV>
                  <wp:extent cx="1114425" cy="880745"/>
                  <wp:effectExtent l="0" t="0" r="3175" b="8255"/>
                  <wp:wrapNone/>
                  <wp:docPr id="158" name="图片_9"/>
                  <wp:cNvGraphicFramePr/>
                  <a:graphic xmlns:a="http://schemas.openxmlformats.org/drawingml/2006/main">
                    <a:graphicData uri="http://schemas.openxmlformats.org/drawingml/2006/picture">
                      <pic:pic xmlns:pic="http://schemas.openxmlformats.org/drawingml/2006/picture">
                        <pic:nvPicPr>
                          <pic:cNvPr id="158" name="图片_9"/>
                          <pic:cNvPicPr/>
                        </pic:nvPicPr>
                        <pic:blipFill>
                          <a:blip r:embed="rId12"/>
                          <a:stretch>
                            <a:fillRect/>
                          </a:stretch>
                        </pic:blipFill>
                        <pic:spPr>
                          <a:xfrm>
                            <a:off x="0" y="0"/>
                            <a:ext cx="1114425" cy="880745"/>
                          </a:xfrm>
                          <a:prstGeom prst="rect">
                            <a:avLst/>
                          </a:prstGeom>
                          <a:noFill/>
                          <a:ln>
                            <a:noFill/>
                          </a:ln>
                        </pic:spPr>
                      </pic:pic>
                    </a:graphicData>
                  </a:graphic>
                </wp:anchor>
              </w:drawing>
            </w:r>
          </w:p>
        </w:tc>
        <w:tc>
          <w:tcPr>
            <w:tcW w:w="1220" w:type="dxa"/>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800*550*1000</w:t>
            </w:r>
          </w:p>
        </w:tc>
        <w:tc>
          <w:tcPr>
            <w:tcW w:w="700"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15</w:t>
            </w:r>
          </w:p>
        </w:tc>
        <w:tc>
          <w:tcPr>
            <w:tcW w:w="790"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组</w:t>
            </w:r>
          </w:p>
        </w:tc>
        <w:tc>
          <w:tcPr>
            <w:tcW w:w="582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140" name="AutoShape_1158_SpCnt_15"/>
                  <wp:cNvGraphicFramePr/>
                  <a:graphic xmlns:a="http://schemas.openxmlformats.org/drawingml/2006/main">
                    <a:graphicData uri="http://schemas.openxmlformats.org/drawingml/2006/picture">
                      <pic:pic xmlns:pic="http://schemas.openxmlformats.org/drawingml/2006/picture">
                        <pic:nvPicPr>
                          <pic:cNvPr id="140" name="AutoShape_1158_SpCnt_15"/>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144" name="AutoShape_1158_SpCnt_16"/>
                  <wp:cNvGraphicFramePr/>
                  <a:graphic xmlns:a="http://schemas.openxmlformats.org/drawingml/2006/main">
                    <a:graphicData uri="http://schemas.openxmlformats.org/drawingml/2006/picture">
                      <pic:pic xmlns:pic="http://schemas.openxmlformats.org/drawingml/2006/picture">
                        <pic:nvPicPr>
                          <pic:cNvPr id="144" name="AutoShape_1158_SpCnt_16"/>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157" name="AutoShape_1158_SpCnt_17"/>
                  <wp:cNvGraphicFramePr/>
                  <a:graphic xmlns:a="http://schemas.openxmlformats.org/drawingml/2006/main">
                    <a:graphicData uri="http://schemas.openxmlformats.org/drawingml/2006/picture">
                      <pic:pic xmlns:pic="http://schemas.openxmlformats.org/drawingml/2006/picture">
                        <pic:nvPicPr>
                          <pic:cNvPr id="157" name="AutoShape_1158_SpCnt_17"/>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149" name="AutoShape_1158_SpCnt_18"/>
                  <wp:cNvGraphicFramePr/>
                  <a:graphic xmlns:a="http://schemas.openxmlformats.org/drawingml/2006/main">
                    <a:graphicData uri="http://schemas.openxmlformats.org/drawingml/2006/picture">
                      <pic:pic xmlns:pic="http://schemas.openxmlformats.org/drawingml/2006/picture">
                        <pic:nvPicPr>
                          <pic:cNvPr id="149" name="AutoShape_1158_SpCnt_18"/>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139" name="AutoShape_1158_SpCnt_19"/>
                  <wp:cNvGraphicFramePr/>
                  <a:graphic xmlns:a="http://schemas.openxmlformats.org/drawingml/2006/main">
                    <a:graphicData uri="http://schemas.openxmlformats.org/drawingml/2006/picture">
                      <pic:pic xmlns:pic="http://schemas.openxmlformats.org/drawingml/2006/picture">
                        <pic:nvPicPr>
                          <pic:cNvPr id="139" name="AutoShape_1158_SpCnt_19"/>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146" name="AutoShape_1158_SpCnt_20"/>
                  <wp:cNvGraphicFramePr/>
                  <a:graphic xmlns:a="http://schemas.openxmlformats.org/drawingml/2006/main">
                    <a:graphicData uri="http://schemas.openxmlformats.org/drawingml/2006/picture">
                      <pic:pic xmlns:pic="http://schemas.openxmlformats.org/drawingml/2006/picture">
                        <pic:nvPicPr>
                          <pic:cNvPr id="146" name="AutoShape_1158_SpCnt_20"/>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156" name="AutoShape_1158_SpCnt_21"/>
                  <wp:cNvGraphicFramePr/>
                  <a:graphic xmlns:a="http://schemas.openxmlformats.org/drawingml/2006/main">
                    <a:graphicData uri="http://schemas.openxmlformats.org/drawingml/2006/picture">
                      <pic:pic xmlns:pic="http://schemas.openxmlformats.org/drawingml/2006/picture">
                        <pic:nvPicPr>
                          <pic:cNvPr id="156" name="AutoShape_1158_SpCnt_21"/>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163" name="AutoShape_1158_SpCnt_22"/>
                  <wp:cNvGraphicFramePr/>
                  <a:graphic xmlns:a="http://schemas.openxmlformats.org/drawingml/2006/main">
                    <a:graphicData uri="http://schemas.openxmlformats.org/drawingml/2006/picture">
                      <pic:pic xmlns:pic="http://schemas.openxmlformats.org/drawingml/2006/picture">
                        <pic:nvPicPr>
                          <pic:cNvPr id="163" name="AutoShape_1158_SpCnt_22"/>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159" name="AutoShape_1158_SpCnt_23"/>
                  <wp:cNvGraphicFramePr/>
                  <a:graphic xmlns:a="http://schemas.openxmlformats.org/drawingml/2006/main">
                    <a:graphicData uri="http://schemas.openxmlformats.org/drawingml/2006/picture">
                      <pic:pic xmlns:pic="http://schemas.openxmlformats.org/drawingml/2006/picture">
                        <pic:nvPicPr>
                          <pic:cNvPr id="159" name="AutoShape_1158_SpCnt_23"/>
                          <pic:cNvPicPr/>
                        </pic:nvPicPr>
                        <pic:blipFill>
                          <a:blip r:embed="rId14"/>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145" name="AutoShape_1158_SpCnt_24"/>
                  <wp:cNvGraphicFramePr/>
                  <a:graphic xmlns:a="http://schemas.openxmlformats.org/drawingml/2006/main">
                    <a:graphicData uri="http://schemas.openxmlformats.org/drawingml/2006/picture">
                      <pic:pic xmlns:pic="http://schemas.openxmlformats.org/drawingml/2006/picture">
                        <pic:nvPicPr>
                          <pic:cNvPr id="145" name="AutoShape_1158_SpCnt_24"/>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none" w:color="auto" w:sz="0" w:space="0"/>
                <w:lang w:val="en-US" w:eastAsia="zh-CN" w:bidi="ar"/>
              </w:rPr>
              <w:t xml:space="preserve">1、采用优质E0级环保高密度刨花板，连续压机生产，甲醛释放量&lt;3mg/100g，                                                                                                                                                    2、饰面纸：采用其表面硬度是一般油漆的3倍，耐刮、耐磨、耐腐蚀、耐高温、不怕烟头烫；采用纯三聚氰胺浸胶，使表面透明度更好，耐污性更强。         </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 xml:space="preserve">  3、PVC封边：优质厚PVC封边带，厚度≥2mm，;；                                                                                                     4.胶水：采用”热熔胶或同级别品牌；                                                                       5.五金配件：采用品牌优质五金连接件。                                                                                                                                                              </w:t>
            </w:r>
          </w:p>
        </w:tc>
        <w:tc>
          <w:tcPr>
            <w:tcW w:w="86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c>
          <w:tcPr>
            <w:tcW w:w="84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c>
          <w:tcPr>
            <w:tcW w:w="59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w:t>
            </w:r>
          </w:p>
        </w:tc>
        <w:tc>
          <w:tcPr>
            <w:tcW w:w="836"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课桌</w:t>
            </w:r>
          </w:p>
        </w:tc>
        <w:tc>
          <w:tcPr>
            <w:tcW w:w="2160"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262890</wp:posOffset>
                  </wp:positionH>
                  <wp:positionV relativeFrom="paragraph">
                    <wp:posOffset>222250</wp:posOffset>
                  </wp:positionV>
                  <wp:extent cx="1470660" cy="1002665"/>
                  <wp:effectExtent l="0" t="0" r="2540" b="635"/>
                  <wp:wrapNone/>
                  <wp:docPr id="165" name="图片_679"/>
                  <wp:cNvGraphicFramePr/>
                  <a:graphic xmlns:a="http://schemas.openxmlformats.org/drawingml/2006/main">
                    <a:graphicData uri="http://schemas.openxmlformats.org/drawingml/2006/picture">
                      <pic:pic xmlns:pic="http://schemas.openxmlformats.org/drawingml/2006/picture">
                        <pic:nvPicPr>
                          <pic:cNvPr id="165" name="图片_679"/>
                          <pic:cNvPicPr/>
                        </pic:nvPicPr>
                        <pic:blipFill>
                          <a:blip r:embed="rId15"/>
                          <a:stretch>
                            <a:fillRect/>
                          </a:stretch>
                        </pic:blipFill>
                        <pic:spPr>
                          <a:xfrm>
                            <a:off x="0" y="0"/>
                            <a:ext cx="1470660" cy="1002665"/>
                          </a:xfrm>
                          <a:prstGeom prst="rect">
                            <a:avLst/>
                          </a:prstGeom>
                          <a:noFill/>
                          <a:ln>
                            <a:noFill/>
                          </a:ln>
                        </pic:spPr>
                      </pic:pic>
                    </a:graphicData>
                  </a:graphic>
                </wp:anchor>
              </w:drawing>
            </w:r>
          </w:p>
        </w:tc>
        <w:tc>
          <w:tcPr>
            <w:tcW w:w="1220" w:type="dxa"/>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1200W*450D*750H</w:t>
            </w:r>
          </w:p>
        </w:tc>
        <w:tc>
          <w:tcPr>
            <w:tcW w:w="700"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300</w:t>
            </w:r>
          </w:p>
        </w:tc>
        <w:tc>
          <w:tcPr>
            <w:tcW w:w="790" w:type="dxa"/>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5820" w:type="dxa"/>
            <w:tcBorders>
              <w:top w:val="nil"/>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1.台面板：采用25厚E0级三胺刨花板基材</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2.台面支撑组件：由左右二条管连接一体，表面经高温静电喷粉处理，可折叠，书包架配钢板</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 xml:space="preserve">3.桌架：，表面经高温静电喷粉处理。 </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5.脚垫：采用PP+玻纤材料经模具压注成型。配固定脚</w:t>
            </w:r>
          </w:p>
        </w:tc>
        <w:tc>
          <w:tcPr>
            <w:tcW w:w="860" w:type="dxa"/>
            <w:tcBorders>
              <w:top w:val="nil"/>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nil"/>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nil"/>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课椅</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435610</wp:posOffset>
                  </wp:positionH>
                  <wp:positionV relativeFrom="paragraph">
                    <wp:posOffset>257175</wp:posOffset>
                  </wp:positionV>
                  <wp:extent cx="885825" cy="1211580"/>
                  <wp:effectExtent l="0" t="0" r="3175" b="7620"/>
                  <wp:wrapNone/>
                  <wp:docPr id="160" name="图片_680"/>
                  <wp:cNvGraphicFramePr/>
                  <a:graphic xmlns:a="http://schemas.openxmlformats.org/drawingml/2006/main">
                    <a:graphicData uri="http://schemas.openxmlformats.org/drawingml/2006/picture">
                      <pic:pic xmlns:pic="http://schemas.openxmlformats.org/drawingml/2006/picture">
                        <pic:nvPicPr>
                          <pic:cNvPr id="160" name="图片_680"/>
                          <pic:cNvPicPr/>
                        </pic:nvPicPr>
                        <pic:blipFill>
                          <a:blip r:embed="rId16"/>
                          <a:stretch>
                            <a:fillRect/>
                          </a:stretch>
                        </pic:blipFill>
                        <pic:spPr>
                          <a:xfrm>
                            <a:off x="0" y="0"/>
                            <a:ext cx="885825" cy="1211580"/>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515W*475D*780H</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600</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把</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38" name="AutoShape_1158_SpCnt_25"/>
                  <wp:cNvGraphicFramePr/>
                  <a:graphic xmlns:a="http://schemas.openxmlformats.org/drawingml/2006/main">
                    <a:graphicData uri="http://schemas.openxmlformats.org/drawingml/2006/picture">
                      <pic:pic xmlns:pic="http://schemas.openxmlformats.org/drawingml/2006/picture">
                        <pic:nvPicPr>
                          <pic:cNvPr id="138" name="AutoShape_1158_SpCnt_25"/>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47" name="AutoShape_1158_SpCnt_26"/>
                  <wp:cNvGraphicFramePr/>
                  <a:graphic xmlns:a="http://schemas.openxmlformats.org/drawingml/2006/main">
                    <a:graphicData uri="http://schemas.openxmlformats.org/drawingml/2006/picture">
                      <pic:pic xmlns:pic="http://schemas.openxmlformats.org/drawingml/2006/picture">
                        <pic:nvPicPr>
                          <pic:cNvPr id="147" name="AutoShape_1158_SpCnt_26"/>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48" name="AutoShape_1158_SpCnt_27"/>
                  <wp:cNvGraphicFramePr/>
                  <a:graphic xmlns:a="http://schemas.openxmlformats.org/drawingml/2006/main">
                    <a:graphicData uri="http://schemas.openxmlformats.org/drawingml/2006/picture">
                      <pic:pic xmlns:pic="http://schemas.openxmlformats.org/drawingml/2006/picture">
                        <pic:nvPicPr>
                          <pic:cNvPr id="148" name="AutoShape_1158_SpCnt_27"/>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50" name="AutoShape_1158_SpCnt_28"/>
                  <wp:cNvGraphicFramePr/>
                  <a:graphic xmlns:a="http://schemas.openxmlformats.org/drawingml/2006/main">
                    <a:graphicData uri="http://schemas.openxmlformats.org/drawingml/2006/picture">
                      <pic:pic xmlns:pic="http://schemas.openxmlformats.org/drawingml/2006/picture">
                        <pic:nvPicPr>
                          <pic:cNvPr id="150" name="AutoShape_1158_SpCnt_28"/>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53" name="AutoShape_1158_SpCnt_29"/>
                  <wp:cNvGraphicFramePr/>
                  <a:graphic xmlns:a="http://schemas.openxmlformats.org/drawingml/2006/main">
                    <a:graphicData uri="http://schemas.openxmlformats.org/drawingml/2006/picture">
                      <pic:pic xmlns:pic="http://schemas.openxmlformats.org/drawingml/2006/picture">
                        <pic:nvPicPr>
                          <pic:cNvPr id="153" name="AutoShape_1158_SpCnt_29"/>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61" name="AutoShape_1158_SpCnt_30"/>
                  <wp:cNvGraphicFramePr/>
                  <a:graphic xmlns:a="http://schemas.openxmlformats.org/drawingml/2006/main">
                    <a:graphicData uri="http://schemas.openxmlformats.org/drawingml/2006/picture">
                      <pic:pic xmlns:pic="http://schemas.openxmlformats.org/drawingml/2006/picture">
                        <pic:nvPicPr>
                          <pic:cNvPr id="161" name="AutoShape_1158_SpCnt_30"/>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35" name="AutoShape_1158_SpCnt_31"/>
                  <wp:cNvGraphicFramePr/>
                  <a:graphic xmlns:a="http://schemas.openxmlformats.org/drawingml/2006/main">
                    <a:graphicData uri="http://schemas.openxmlformats.org/drawingml/2006/picture">
                      <pic:pic xmlns:pic="http://schemas.openxmlformats.org/drawingml/2006/picture">
                        <pic:nvPicPr>
                          <pic:cNvPr id="135" name="AutoShape_1158_SpCnt_31"/>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36" name="AutoShape_1158_SpCnt_32"/>
                  <wp:cNvGraphicFramePr/>
                  <a:graphic xmlns:a="http://schemas.openxmlformats.org/drawingml/2006/main">
                    <a:graphicData uri="http://schemas.openxmlformats.org/drawingml/2006/picture">
                      <pic:pic xmlns:pic="http://schemas.openxmlformats.org/drawingml/2006/picture">
                        <pic:nvPicPr>
                          <pic:cNvPr id="136" name="AutoShape_1158_SpCnt_32"/>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37" name="AutoShape_1158_SpCnt_33"/>
                  <wp:cNvGraphicFramePr/>
                  <a:graphic xmlns:a="http://schemas.openxmlformats.org/drawingml/2006/main">
                    <a:graphicData uri="http://schemas.openxmlformats.org/drawingml/2006/picture">
                      <pic:pic xmlns:pic="http://schemas.openxmlformats.org/drawingml/2006/picture">
                        <pic:nvPicPr>
                          <pic:cNvPr id="137" name="AutoShape_1158_SpCnt_33"/>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54" name="AutoShape_1158_SpCnt_34"/>
                  <wp:cNvGraphicFramePr/>
                  <a:graphic xmlns:a="http://schemas.openxmlformats.org/drawingml/2006/main">
                    <a:graphicData uri="http://schemas.openxmlformats.org/drawingml/2006/picture">
                      <pic:pic xmlns:pic="http://schemas.openxmlformats.org/drawingml/2006/picture">
                        <pic:nvPicPr>
                          <pic:cNvPr id="154" name="AutoShape_1158_SpCnt_34"/>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55" name="AutoShape_1158_SpCnt_35"/>
                  <wp:cNvGraphicFramePr/>
                  <a:graphic xmlns:a="http://schemas.openxmlformats.org/drawingml/2006/main">
                    <a:graphicData uri="http://schemas.openxmlformats.org/drawingml/2006/picture">
                      <pic:pic xmlns:pic="http://schemas.openxmlformats.org/drawingml/2006/picture">
                        <pic:nvPicPr>
                          <pic:cNvPr id="155" name="AutoShape_1158_SpCnt_35"/>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97" name="AutoShape_1158_SpCnt_36"/>
                  <wp:cNvGraphicFramePr/>
                  <a:graphic xmlns:a="http://schemas.openxmlformats.org/drawingml/2006/main">
                    <a:graphicData uri="http://schemas.openxmlformats.org/drawingml/2006/picture">
                      <pic:pic xmlns:pic="http://schemas.openxmlformats.org/drawingml/2006/picture">
                        <pic:nvPicPr>
                          <pic:cNvPr id="197" name="AutoShape_1158_SpCnt_36"/>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74" name="AutoShape_1158_SpCnt_37"/>
                  <wp:cNvGraphicFramePr/>
                  <a:graphic xmlns:a="http://schemas.openxmlformats.org/drawingml/2006/main">
                    <a:graphicData uri="http://schemas.openxmlformats.org/drawingml/2006/picture">
                      <pic:pic xmlns:pic="http://schemas.openxmlformats.org/drawingml/2006/picture">
                        <pic:nvPicPr>
                          <pic:cNvPr id="174" name="AutoShape_1158_SpCnt_37"/>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98" name="AutoShape_1158_SpCnt_38"/>
                  <wp:cNvGraphicFramePr/>
                  <a:graphic xmlns:a="http://schemas.openxmlformats.org/drawingml/2006/main">
                    <a:graphicData uri="http://schemas.openxmlformats.org/drawingml/2006/picture">
                      <pic:pic xmlns:pic="http://schemas.openxmlformats.org/drawingml/2006/picture">
                        <pic:nvPicPr>
                          <pic:cNvPr id="198" name="AutoShape_1158_SpCnt_38"/>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79" name="AutoShape_1158_SpCnt_39"/>
                  <wp:cNvGraphicFramePr/>
                  <a:graphic xmlns:a="http://schemas.openxmlformats.org/drawingml/2006/main">
                    <a:graphicData uri="http://schemas.openxmlformats.org/drawingml/2006/picture">
                      <pic:pic xmlns:pic="http://schemas.openxmlformats.org/drawingml/2006/picture">
                        <pic:nvPicPr>
                          <pic:cNvPr id="179" name="AutoShape_1158_SpCnt_39"/>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none" w:color="auto" w:sz="0" w:space="0"/>
                <w:lang w:val="en-US" w:eastAsia="zh-CN" w:bidi="ar"/>
              </w:rPr>
              <w:t>PP椅面，椅架采用扁圆管19*40*2.0，灰色烤漆，尼龙稳固脚垫</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t>小教室</w:t>
            </w: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7</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讲台</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389890</wp:posOffset>
                  </wp:positionH>
                  <wp:positionV relativeFrom="paragraph">
                    <wp:posOffset>113665</wp:posOffset>
                  </wp:positionV>
                  <wp:extent cx="1095375" cy="1322070"/>
                  <wp:effectExtent l="0" t="0" r="9525" b="11430"/>
                  <wp:wrapNone/>
                  <wp:docPr id="189" name="图片_677"/>
                  <wp:cNvGraphicFramePr/>
                  <a:graphic xmlns:a="http://schemas.openxmlformats.org/drawingml/2006/main">
                    <a:graphicData uri="http://schemas.openxmlformats.org/drawingml/2006/picture">
                      <pic:pic xmlns:pic="http://schemas.openxmlformats.org/drawingml/2006/picture">
                        <pic:nvPicPr>
                          <pic:cNvPr id="189" name="图片_677"/>
                          <pic:cNvPicPr/>
                        </pic:nvPicPr>
                        <pic:blipFill>
                          <a:blip r:embed="rId17"/>
                          <a:stretch>
                            <a:fillRect/>
                          </a:stretch>
                        </pic:blipFill>
                        <pic:spPr>
                          <a:xfrm>
                            <a:off x="0" y="0"/>
                            <a:ext cx="1095375" cy="1322070"/>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讲台</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只</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台面免漆板，带笔槽，万向轮，可升降支架</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8</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单人课桌</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370840</wp:posOffset>
                  </wp:positionH>
                  <wp:positionV relativeFrom="paragraph">
                    <wp:posOffset>506730</wp:posOffset>
                  </wp:positionV>
                  <wp:extent cx="1104900" cy="836295"/>
                  <wp:effectExtent l="0" t="0" r="0" b="1905"/>
                  <wp:wrapNone/>
                  <wp:docPr id="180" name="图片_676"/>
                  <wp:cNvGraphicFramePr/>
                  <a:graphic xmlns:a="http://schemas.openxmlformats.org/drawingml/2006/main">
                    <a:graphicData uri="http://schemas.openxmlformats.org/drawingml/2006/picture">
                      <pic:pic xmlns:pic="http://schemas.openxmlformats.org/drawingml/2006/picture">
                        <pic:nvPicPr>
                          <pic:cNvPr id="180" name="图片_676"/>
                          <pic:cNvPicPr/>
                        </pic:nvPicPr>
                        <pic:blipFill>
                          <a:blip r:embed="rId18"/>
                          <a:stretch>
                            <a:fillRect/>
                          </a:stretch>
                        </pic:blipFill>
                        <pic:spPr>
                          <a:xfrm>
                            <a:off x="0" y="0"/>
                            <a:ext cx="1104900" cy="836295"/>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750*550*750</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15</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桌面ABS塑料材质，桌斗PP材质，课桌立柱60*1.5，</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桌面横梁20*40*1.5</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桌脚32*1.7mm</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9</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课椅</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447675</wp:posOffset>
                  </wp:positionH>
                  <wp:positionV relativeFrom="paragraph">
                    <wp:posOffset>281305</wp:posOffset>
                  </wp:positionV>
                  <wp:extent cx="1238250" cy="1228725"/>
                  <wp:effectExtent l="0" t="0" r="6350" b="3175"/>
                  <wp:wrapNone/>
                  <wp:docPr id="192" name="图片_681"/>
                  <wp:cNvGraphicFramePr/>
                  <a:graphic xmlns:a="http://schemas.openxmlformats.org/drawingml/2006/main">
                    <a:graphicData uri="http://schemas.openxmlformats.org/drawingml/2006/picture">
                      <pic:pic xmlns:pic="http://schemas.openxmlformats.org/drawingml/2006/picture">
                        <pic:nvPicPr>
                          <pic:cNvPr id="192" name="图片_681"/>
                          <pic:cNvPicPr/>
                        </pic:nvPicPr>
                        <pic:blipFill>
                          <a:blip r:embed="rId19"/>
                          <a:stretch>
                            <a:fillRect/>
                          </a:stretch>
                        </pic:blipFill>
                        <pic:spPr>
                          <a:xfrm>
                            <a:off x="0" y="0"/>
                            <a:ext cx="1238250" cy="1228725"/>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标准</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15</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把</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67" name="AutoShape_1158_SpCnt_40"/>
                  <wp:cNvGraphicFramePr/>
                  <a:graphic xmlns:a="http://schemas.openxmlformats.org/drawingml/2006/main">
                    <a:graphicData uri="http://schemas.openxmlformats.org/drawingml/2006/picture">
                      <pic:pic xmlns:pic="http://schemas.openxmlformats.org/drawingml/2006/picture">
                        <pic:nvPicPr>
                          <pic:cNvPr id="167" name="AutoShape_1158_SpCnt_40"/>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96" name="AutoShape_1158_SpCnt_41"/>
                  <wp:cNvGraphicFramePr/>
                  <a:graphic xmlns:a="http://schemas.openxmlformats.org/drawingml/2006/main">
                    <a:graphicData uri="http://schemas.openxmlformats.org/drawingml/2006/picture">
                      <pic:pic xmlns:pic="http://schemas.openxmlformats.org/drawingml/2006/picture">
                        <pic:nvPicPr>
                          <pic:cNvPr id="196" name="AutoShape_1158_SpCnt_41"/>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95" name="AutoShape_1158_SpCnt_42"/>
                  <wp:cNvGraphicFramePr/>
                  <a:graphic xmlns:a="http://schemas.openxmlformats.org/drawingml/2006/main">
                    <a:graphicData uri="http://schemas.openxmlformats.org/drawingml/2006/picture">
                      <pic:pic xmlns:pic="http://schemas.openxmlformats.org/drawingml/2006/picture">
                        <pic:nvPicPr>
                          <pic:cNvPr id="195" name="AutoShape_1158_SpCnt_42"/>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88" name="AutoShape_1158_SpCnt_43"/>
                  <wp:cNvGraphicFramePr/>
                  <a:graphic xmlns:a="http://schemas.openxmlformats.org/drawingml/2006/main">
                    <a:graphicData uri="http://schemas.openxmlformats.org/drawingml/2006/picture">
                      <pic:pic xmlns:pic="http://schemas.openxmlformats.org/drawingml/2006/picture">
                        <pic:nvPicPr>
                          <pic:cNvPr id="188" name="AutoShape_1158_SpCnt_43"/>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90" name="AutoShape_1158_SpCnt_44"/>
                  <wp:cNvGraphicFramePr/>
                  <a:graphic xmlns:a="http://schemas.openxmlformats.org/drawingml/2006/main">
                    <a:graphicData uri="http://schemas.openxmlformats.org/drawingml/2006/picture">
                      <pic:pic xmlns:pic="http://schemas.openxmlformats.org/drawingml/2006/picture">
                        <pic:nvPicPr>
                          <pic:cNvPr id="190" name="AutoShape_1158_SpCnt_44"/>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68" name="AutoShape_1158_SpCnt_45"/>
                  <wp:cNvGraphicFramePr/>
                  <a:graphic xmlns:a="http://schemas.openxmlformats.org/drawingml/2006/main">
                    <a:graphicData uri="http://schemas.openxmlformats.org/drawingml/2006/picture">
                      <pic:pic xmlns:pic="http://schemas.openxmlformats.org/drawingml/2006/picture">
                        <pic:nvPicPr>
                          <pic:cNvPr id="168" name="AutoShape_1158_SpCnt_45"/>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69" name="AutoShape_1158_SpCnt_46"/>
                  <wp:cNvGraphicFramePr/>
                  <a:graphic xmlns:a="http://schemas.openxmlformats.org/drawingml/2006/main">
                    <a:graphicData uri="http://schemas.openxmlformats.org/drawingml/2006/picture">
                      <pic:pic xmlns:pic="http://schemas.openxmlformats.org/drawingml/2006/picture">
                        <pic:nvPicPr>
                          <pic:cNvPr id="169" name="AutoShape_1158_SpCnt_46"/>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70" name="AutoShape_1158_SpCnt_47"/>
                  <wp:cNvGraphicFramePr/>
                  <a:graphic xmlns:a="http://schemas.openxmlformats.org/drawingml/2006/main">
                    <a:graphicData uri="http://schemas.openxmlformats.org/drawingml/2006/picture">
                      <pic:pic xmlns:pic="http://schemas.openxmlformats.org/drawingml/2006/picture">
                        <pic:nvPicPr>
                          <pic:cNvPr id="170" name="AutoShape_1158_SpCnt_47"/>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83" name="AutoShape_1158_SpCnt_48"/>
                  <wp:cNvGraphicFramePr/>
                  <a:graphic xmlns:a="http://schemas.openxmlformats.org/drawingml/2006/main">
                    <a:graphicData uri="http://schemas.openxmlformats.org/drawingml/2006/picture">
                      <pic:pic xmlns:pic="http://schemas.openxmlformats.org/drawingml/2006/picture">
                        <pic:nvPicPr>
                          <pic:cNvPr id="183" name="AutoShape_1158_SpCnt_48"/>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82" name="AutoShape_1158_SpCnt_49"/>
                  <wp:cNvGraphicFramePr/>
                  <a:graphic xmlns:a="http://schemas.openxmlformats.org/drawingml/2006/main">
                    <a:graphicData uri="http://schemas.openxmlformats.org/drawingml/2006/picture">
                      <pic:pic xmlns:pic="http://schemas.openxmlformats.org/drawingml/2006/picture">
                        <pic:nvPicPr>
                          <pic:cNvPr id="182" name="AutoShape_1158_SpCnt_49"/>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84" name="AutoShape_1158_SpCnt_50"/>
                  <wp:cNvGraphicFramePr/>
                  <a:graphic xmlns:a="http://schemas.openxmlformats.org/drawingml/2006/main">
                    <a:graphicData uri="http://schemas.openxmlformats.org/drawingml/2006/picture">
                      <pic:pic xmlns:pic="http://schemas.openxmlformats.org/drawingml/2006/picture">
                        <pic:nvPicPr>
                          <pic:cNvPr id="184" name="AutoShape_1158_SpCnt_50"/>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93" name="AutoShape_1158_SpCnt_51"/>
                  <wp:cNvGraphicFramePr/>
                  <a:graphic xmlns:a="http://schemas.openxmlformats.org/drawingml/2006/main">
                    <a:graphicData uri="http://schemas.openxmlformats.org/drawingml/2006/picture">
                      <pic:pic xmlns:pic="http://schemas.openxmlformats.org/drawingml/2006/picture">
                        <pic:nvPicPr>
                          <pic:cNvPr id="193" name="AutoShape_1158_SpCnt_51"/>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81" name="AutoShape_1158_SpCnt_52"/>
                  <wp:cNvGraphicFramePr/>
                  <a:graphic xmlns:a="http://schemas.openxmlformats.org/drawingml/2006/main">
                    <a:graphicData uri="http://schemas.openxmlformats.org/drawingml/2006/picture">
                      <pic:pic xmlns:pic="http://schemas.openxmlformats.org/drawingml/2006/picture">
                        <pic:nvPicPr>
                          <pic:cNvPr id="181" name="AutoShape_1158_SpCnt_52"/>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85" name="AutoShape_1158_SpCnt_53"/>
                  <wp:cNvGraphicFramePr/>
                  <a:graphic xmlns:a="http://schemas.openxmlformats.org/drawingml/2006/main">
                    <a:graphicData uri="http://schemas.openxmlformats.org/drawingml/2006/picture">
                      <pic:pic xmlns:pic="http://schemas.openxmlformats.org/drawingml/2006/picture">
                        <pic:nvPicPr>
                          <pic:cNvPr id="185" name="AutoShape_1158_SpCnt_53"/>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71" name="AutoShape_1158_SpCnt_54"/>
                  <wp:cNvGraphicFramePr/>
                  <a:graphic xmlns:a="http://schemas.openxmlformats.org/drawingml/2006/main">
                    <a:graphicData uri="http://schemas.openxmlformats.org/drawingml/2006/picture">
                      <pic:pic xmlns:pic="http://schemas.openxmlformats.org/drawingml/2006/picture">
                        <pic:nvPicPr>
                          <pic:cNvPr id="171" name="AutoShape_1158_SpCnt_54"/>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none" w:color="auto" w:sz="0" w:space="0"/>
                <w:lang w:val="en-US" w:eastAsia="zh-CN" w:bidi="ar"/>
              </w:rPr>
              <w:t>1.站管：采用Ф25*2mm厚的圆管一体折弯成型。</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2.椅座连接横管：采用Ф25*1.5mm圆管焊接成形。</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3.连体椅面：采用高强度改性PP（聚炳稀）材料经模具压注成形，两侧作加强加厚处理，最厚处厚度达15mm；椅面后背设有加厚加强条，以确保其10度角的舒适弹性下同时保持足够承托强度。</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4.金属饰面：金属表面经高温静电喷粉工艺处理。</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5.外型： 按人体工程学设计，线条流畅，座感舒适，背部包裹性好。</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10</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单人课桌</w:t>
            </w:r>
          </w:p>
        </w:tc>
        <w:tc>
          <w:tcPr>
            <w:tcW w:w="2160"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918210</wp:posOffset>
                  </wp:positionV>
                  <wp:extent cx="1751965" cy="1350010"/>
                  <wp:effectExtent l="0" t="0" r="635" b="8890"/>
                  <wp:wrapNone/>
                  <wp:docPr id="186" name="图片_43"/>
                  <wp:cNvGraphicFramePr/>
                  <a:graphic xmlns:a="http://schemas.openxmlformats.org/drawingml/2006/main">
                    <a:graphicData uri="http://schemas.openxmlformats.org/drawingml/2006/picture">
                      <pic:pic xmlns:pic="http://schemas.openxmlformats.org/drawingml/2006/picture">
                        <pic:nvPicPr>
                          <pic:cNvPr id="186" name="图片_43"/>
                          <pic:cNvPicPr/>
                        </pic:nvPicPr>
                        <pic:blipFill>
                          <a:blip r:embed="rId20"/>
                          <a:stretch>
                            <a:fillRect/>
                          </a:stretch>
                        </pic:blipFill>
                        <pic:spPr>
                          <a:xfrm>
                            <a:off x="0" y="0"/>
                            <a:ext cx="1751965" cy="1350010"/>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605*475*740</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75</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吸塑木纹色，面E1级三聚氰胺板，桌斗PP材质，，扁圆管型19*40*2.0，</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11</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课椅</w:t>
            </w:r>
          </w:p>
        </w:tc>
        <w:tc>
          <w:tcPr>
            <w:tcW w:w="216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2"/>
                <w:szCs w:val="22"/>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标准</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75</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把</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72" name="AutoShape_1158_SpCnt_55"/>
                  <wp:cNvGraphicFramePr/>
                  <a:graphic xmlns:a="http://schemas.openxmlformats.org/drawingml/2006/main">
                    <a:graphicData uri="http://schemas.openxmlformats.org/drawingml/2006/picture">
                      <pic:pic xmlns:pic="http://schemas.openxmlformats.org/drawingml/2006/picture">
                        <pic:nvPicPr>
                          <pic:cNvPr id="172" name="AutoShape_1158_SpCnt_55"/>
                          <pic:cNvPicPr/>
                        </pic:nvPicPr>
                        <pic:blipFill>
                          <a:blip r:embed="rId21"/>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94" name="AutoShape_1158_SpCnt_56"/>
                  <wp:cNvGraphicFramePr/>
                  <a:graphic xmlns:a="http://schemas.openxmlformats.org/drawingml/2006/main">
                    <a:graphicData uri="http://schemas.openxmlformats.org/drawingml/2006/picture">
                      <pic:pic xmlns:pic="http://schemas.openxmlformats.org/drawingml/2006/picture">
                        <pic:nvPicPr>
                          <pic:cNvPr id="194" name="AutoShape_1158_SpCnt_56"/>
                          <pic:cNvPicPr/>
                        </pic:nvPicPr>
                        <pic:blipFill>
                          <a:blip r:embed="rId22"/>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87" name="AutoShape_1158_SpCnt_57"/>
                  <wp:cNvGraphicFramePr/>
                  <a:graphic xmlns:a="http://schemas.openxmlformats.org/drawingml/2006/main">
                    <a:graphicData uri="http://schemas.openxmlformats.org/drawingml/2006/picture">
                      <pic:pic xmlns:pic="http://schemas.openxmlformats.org/drawingml/2006/picture">
                        <pic:nvPicPr>
                          <pic:cNvPr id="187" name="AutoShape_1158_SpCnt_57"/>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91" name="AutoShape_1158_SpCnt_58"/>
                  <wp:cNvGraphicFramePr/>
                  <a:graphic xmlns:a="http://schemas.openxmlformats.org/drawingml/2006/main">
                    <a:graphicData uri="http://schemas.openxmlformats.org/drawingml/2006/picture">
                      <pic:pic xmlns:pic="http://schemas.openxmlformats.org/drawingml/2006/picture">
                        <pic:nvPicPr>
                          <pic:cNvPr id="191" name="AutoShape_1158_SpCnt_58"/>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73" name="AutoShape_1158_SpCnt_59"/>
                  <wp:cNvGraphicFramePr/>
                  <a:graphic xmlns:a="http://schemas.openxmlformats.org/drawingml/2006/main">
                    <a:graphicData uri="http://schemas.openxmlformats.org/drawingml/2006/picture">
                      <pic:pic xmlns:pic="http://schemas.openxmlformats.org/drawingml/2006/picture">
                        <pic:nvPicPr>
                          <pic:cNvPr id="173" name="AutoShape_1158_SpCnt_59"/>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76" name="AutoShape_1158_SpCnt_60"/>
                  <wp:cNvGraphicFramePr/>
                  <a:graphic xmlns:a="http://schemas.openxmlformats.org/drawingml/2006/main">
                    <a:graphicData uri="http://schemas.openxmlformats.org/drawingml/2006/picture">
                      <pic:pic xmlns:pic="http://schemas.openxmlformats.org/drawingml/2006/picture">
                        <pic:nvPicPr>
                          <pic:cNvPr id="176" name="AutoShape_1158_SpCnt_60"/>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75" name="AutoShape_1158_SpCnt_61"/>
                  <wp:cNvGraphicFramePr/>
                  <a:graphic xmlns:a="http://schemas.openxmlformats.org/drawingml/2006/main">
                    <a:graphicData uri="http://schemas.openxmlformats.org/drawingml/2006/picture">
                      <pic:pic xmlns:pic="http://schemas.openxmlformats.org/drawingml/2006/picture">
                        <pic:nvPicPr>
                          <pic:cNvPr id="175" name="AutoShape_1158_SpCnt_61"/>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77" name="AutoShape_1158_SpCnt_62"/>
                  <wp:cNvGraphicFramePr/>
                  <a:graphic xmlns:a="http://schemas.openxmlformats.org/drawingml/2006/main">
                    <a:graphicData uri="http://schemas.openxmlformats.org/drawingml/2006/picture">
                      <pic:pic xmlns:pic="http://schemas.openxmlformats.org/drawingml/2006/picture">
                        <pic:nvPicPr>
                          <pic:cNvPr id="177" name="AutoShape_1158_SpCnt_62"/>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78" name="AutoShape_1158_SpCnt_63"/>
                  <wp:cNvGraphicFramePr/>
                  <a:graphic xmlns:a="http://schemas.openxmlformats.org/drawingml/2006/main">
                    <a:graphicData uri="http://schemas.openxmlformats.org/drawingml/2006/picture">
                      <pic:pic xmlns:pic="http://schemas.openxmlformats.org/drawingml/2006/picture">
                        <pic:nvPicPr>
                          <pic:cNvPr id="178" name="AutoShape_1158_SpCnt_63"/>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99" name="AutoShape_1158_SpCnt_64"/>
                  <wp:cNvGraphicFramePr/>
                  <a:graphic xmlns:a="http://schemas.openxmlformats.org/drawingml/2006/main">
                    <a:graphicData uri="http://schemas.openxmlformats.org/drawingml/2006/picture">
                      <pic:pic xmlns:pic="http://schemas.openxmlformats.org/drawingml/2006/picture">
                        <pic:nvPicPr>
                          <pic:cNvPr id="199" name="AutoShape_1158_SpCnt_64"/>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123" name="AutoShape_1158_SpCnt_65"/>
                  <wp:cNvGraphicFramePr/>
                  <a:graphic xmlns:a="http://schemas.openxmlformats.org/drawingml/2006/main">
                    <a:graphicData uri="http://schemas.openxmlformats.org/drawingml/2006/picture">
                      <pic:pic xmlns:pic="http://schemas.openxmlformats.org/drawingml/2006/picture">
                        <pic:nvPicPr>
                          <pic:cNvPr id="123" name="AutoShape_1158_SpCnt_65"/>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04" name="AutoShape_1158_SpCnt_66"/>
                  <wp:cNvGraphicFramePr/>
                  <a:graphic xmlns:a="http://schemas.openxmlformats.org/drawingml/2006/main">
                    <a:graphicData uri="http://schemas.openxmlformats.org/drawingml/2006/picture">
                      <pic:pic xmlns:pic="http://schemas.openxmlformats.org/drawingml/2006/picture">
                        <pic:nvPicPr>
                          <pic:cNvPr id="204" name="AutoShape_1158_SpCnt_66"/>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20" name="AutoShape_1158_SpCnt_67"/>
                  <wp:cNvGraphicFramePr/>
                  <a:graphic xmlns:a="http://schemas.openxmlformats.org/drawingml/2006/main">
                    <a:graphicData uri="http://schemas.openxmlformats.org/drawingml/2006/picture">
                      <pic:pic xmlns:pic="http://schemas.openxmlformats.org/drawingml/2006/picture">
                        <pic:nvPicPr>
                          <pic:cNvPr id="220" name="AutoShape_1158_SpCnt_67"/>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07" name="AutoShape_1158_SpCnt_68"/>
                  <wp:cNvGraphicFramePr/>
                  <a:graphic xmlns:a="http://schemas.openxmlformats.org/drawingml/2006/main">
                    <a:graphicData uri="http://schemas.openxmlformats.org/drawingml/2006/picture">
                      <pic:pic xmlns:pic="http://schemas.openxmlformats.org/drawingml/2006/picture">
                        <pic:nvPicPr>
                          <pic:cNvPr id="207" name="AutoShape_1158_SpCnt_68"/>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25" name="AutoShape_1158_SpCnt_69"/>
                  <wp:cNvGraphicFramePr/>
                  <a:graphic xmlns:a="http://schemas.openxmlformats.org/drawingml/2006/main">
                    <a:graphicData uri="http://schemas.openxmlformats.org/drawingml/2006/picture">
                      <pic:pic xmlns:pic="http://schemas.openxmlformats.org/drawingml/2006/picture">
                        <pic:nvPicPr>
                          <pic:cNvPr id="225" name="AutoShape_1158_SpCnt_69"/>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none" w:color="auto" w:sz="0" w:space="0"/>
                <w:lang w:val="en-US" w:eastAsia="zh-CN" w:bidi="ar"/>
              </w:rPr>
              <w:t>PP椅面，椅架采用圆管28*2.0，灰色烤漆，尼龙稳固脚垫</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restart"/>
            <w:tcBorders>
              <w:top w:val="nil"/>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t>小会议室</w:t>
            </w: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会议桌</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52705</wp:posOffset>
                  </wp:positionH>
                  <wp:positionV relativeFrom="paragraph">
                    <wp:posOffset>553720</wp:posOffset>
                  </wp:positionV>
                  <wp:extent cx="1581150" cy="884555"/>
                  <wp:effectExtent l="0" t="0" r="6350" b="4445"/>
                  <wp:wrapNone/>
                  <wp:docPr id="201" name="图片_8"/>
                  <wp:cNvGraphicFramePr/>
                  <a:graphic xmlns:a="http://schemas.openxmlformats.org/drawingml/2006/main">
                    <a:graphicData uri="http://schemas.openxmlformats.org/drawingml/2006/picture">
                      <pic:pic xmlns:pic="http://schemas.openxmlformats.org/drawingml/2006/picture">
                        <pic:nvPicPr>
                          <pic:cNvPr id="201" name="图片_8"/>
                          <pic:cNvPicPr/>
                        </pic:nvPicPr>
                        <pic:blipFill>
                          <a:blip r:embed="rId23"/>
                          <a:stretch>
                            <a:fillRect/>
                          </a:stretch>
                        </pic:blipFill>
                        <pic:spPr>
                          <a:xfrm>
                            <a:off x="0" y="0"/>
                            <a:ext cx="1581150" cy="884555"/>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2800*1200*750</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台面采用E1级MFC板环保板材，自动封边技术，2.0mm双色封边，其他采用E1级MFC环保板材1.5mm封边,斜脚，灰砂纹喷涂，白色开模注塑扣条，灰砂纹铝合金压铸接头，结构稳固耐用，台面配翻盖线盒，中间可上线</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continue"/>
            <w:tcBorders>
              <w:top w:val="nil"/>
              <w:left w:val="single" w:color="000000" w:sz="4" w:space="0"/>
              <w:bottom w:val="nil"/>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13</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椅子</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568960</wp:posOffset>
                  </wp:positionH>
                  <wp:positionV relativeFrom="paragraph">
                    <wp:posOffset>346075</wp:posOffset>
                  </wp:positionV>
                  <wp:extent cx="671195" cy="1045845"/>
                  <wp:effectExtent l="0" t="0" r="1905" b="8255"/>
                  <wp:wrapNone/>
                  <wp:docPr id="224" name="ID_8C6BBE586730492F8F5A048D04596025"/>
                  <wp:cNvGraphicFramePr/>
                  <a:graphic xmlns:a="http://schemas.openxmlformats.org/drawingml/2006/main">
                    <a:graphicData uri="http://schemas.openxmlformats.org/drawingml/2006/picture">
                      <pic:pic xmlns:pic="http://schemas.openxmlformats.org/drawingml/2006/picture">
                        <pic:nvPicPr>
                          <pic:cNvPr id="224" name="ID_8C6BBE586730492F8F5A048D04596025"/>
                          <pic:cNvPicPr/>
                        </pic:nvPicPr>
                        <pic:blipFill>
                          <a:blip r:embed="rId24"/>
                          <a:stretch>
                            <a:fillRect/>
                          </a:stretch>
                        </pic:blipFill>
                        <pic:spPr>
                          <a:xfrm>
                            <a:off x="0" y="0"/>
                            <a:ext cx="671195" cy="1045845"/>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650*610*1000</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24</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把</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·白色尼龙加玻纤背架</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·白色尼龙玻纤独立扶手</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·座包采用定型绵</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·固定扶手连接椅背和椅座</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·弓型架采用2.0mm电镀铁管，通过抗氧化测试</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restart"/>
            <w:tcBorders>
              <w:top w:val="nil"/>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t>大会议室</w:t>
            </w: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14</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会议桌</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448310</wp:posOffset>
                  </wp:positionV>
                  <wp:extent cx="1647825" cy="939165"/>
                  <wp:effectExtent l="0" t="0" r="3175" b="635"/>
                  <wp:wrapNone/>
                  <wp:docPr id="213" name="图片_40"/>
                  <wp:cNvGraphicFramePr/>
                  <a:graphic xmlns:a="http://schemas.openxmlformats.org/drawingml/2006/main">
                    <a:graphicData uri="http://schemas.openxmlformats.org/drawingml/2006/picture">
                      <pic:pic xmlns:pic="http://schemas.openxmlformats.org/drawingml/2006/picture">
                        <pic:nvPicPr>
                          <pic:cNvPr id="213" name="图片_40"/>
                          <pic:cNvPicPr/>
                        </pic:nvPicPr>
                        <pic:blipFill>
                          <a:blip r:embed="rId25"/>
                          <a:stretch>
                            <a:fillRect/>
                          </a:stretch>
                        </pic:blipFill>
                        <pic:spPr>
                          <a:xfrm>
                            <a:off x="0" y="0"/>
                            <a:ext cx="1647825" cy="939165"/>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4800*1600*750</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 xml:space="preserve">1.台面采用40MM厚E1环保MFC板材60°斜边工艺处理，全油漆工艺封边，斜边采用反鸭嘴铝材封边；                                                                                                                                                                                                                                                                                                                                                                                                                                </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2.侧板脚采用板材加厚工艺，两侧也采用铝材封边工艺；</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3.连接件采用压铸工艺，表面电镀处理；</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4.下支撑裙板采用16MM厚E1环保MFC板材连接；</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5.横梁采用1.2mm壁厚的优质钢管，表面（阿克苏品牌）喷粉，耐磨耐刮；</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6.所有板材均采用德国夏特饰面纸；</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7.台面中通位置嵌入钢化黑玻，配置按弹式升降插座；</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continue"/>
            <w:tcBorders>
              <w:top w:val="nil"/>
              <w:left w:val="single" w:color="000000" w:sz="4" w:space="0"/>
              <w:bottom w:val="nil"/>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15</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会议椅</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611505</wp:posOffset>
                  </wp:positionH>
                  <wp:positionV relativeFrom="paragraph">
                    <wp:posOffset>358140</wp:posOffset>
                  </wp:positionV>
                  <wp:extent cx="942340" cy="1232535"/>
                  <wp:effectExtent l="0" t="0" r="10160" b="12065"/>
                  <wp:wrapNone/>
                  <wp:docPr id="206" name="图片_42"/>
                  <wp:cNvGraphicFramePr/>
                  <a:graphic xmlns:a="http://schemas.openxmlformats.org/drawingml/2006/main">
                    <a:graphicData uri="http://schemas.openxmlformats.org/drawingml/2006/picture">
                      <pic:pic xmlns:pic="http://schemas.openxmlformats.org/drawingml/2006/picture">
                        <pic:nvPicPr>
                          <pic:cNvPr id="206" name="图片_42"/>
                          <pic:cNvPicPr/>
                        </pic:nvPicPr>
                        <pic:blipFill>
                          <a:blip r:embed="rId26"/>
                          <a:stretch>
                            <a:fillRect/>
                          </a:stretch>
                        </pic:blipFill>
                        <pic:spPr>
                          <a:xfrm>
                            <a:off x="0" y="0"/>
                            <a:ext cx="942340" cy="1232535"/>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常规</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把</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·黑色尼龙加玻纤背架</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·黑色尼龙独立扶手</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·座包采用定型绵</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·固定角码连接椅背和弓形架</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·弓型架采用2.0mm铁管黑色喷涂而成，通过抗氧化功能测试</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440" w:hRule="atLeast"/>
        </w:trPr>
        <w:tc>
          <w:tcPr>
            <w:tcW w:w="989" w:type="dxa"/>
            <w:vMerge w:val="restart"/>
            <w:tcBorders>
              <w:top w:val="nil"/>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t>领导办公室</w:t>
            </w: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16</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办公桌</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633730</wp:posOffset>
                  </wp:positionV>
                  <wp:extent cx="1787525" cy="1099820"/>
                  <wp:effectExtent l="0" t="0" r="3175" b="5080"/>
                  <wp:wrapNone/>
                  <wp:docPr id="226" name="图片_671"/>
                  <wp:cNvGraphicFramePr/>
                  <a:graphic xmlns:a="http://schemas.openxmlformats.org/drawingml/2006/main">
                    <a:graphicData uri="http://schemas.openxmlformats.org/drawingml/2006/picture">
                      <pic:pic xmlns:pic="http://schemas.openxmlformats.org/drawingml/2006/picture">
                        <pic:nvPicPr>
                          <pic:cNvPr id="226" name="图片_671"/>
                          <pic:cNvPicPr/>
                        </pic:nvPicPr>
                        <pic:blipFill>
                          <a:blip r:embed="rId27"/>
                          <a:stretch>
                            <a:fillRect/>
                          </a:stretch>
                        </pic:blipFill>
                        <pic:spPr>
                          <a:xfrm>
                            <a:off x="0" y="0"/>
                            <a:ext cx="1787525" cy="1099820"/>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2200W*1900D*750</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582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21" name="AutoShape_1158_SpCnt_70"/>
                  <wp:cNvGraphicFramePr/>
                  <a:graphic xmlns:a="http://schemas.openxmlformats.org/drawingml/2006/main">
                    <a:graphicData uri="http://schemas.openxmlformats.org/drawingml/2006/picture">
                      <pic:pic xmlns:pic="http://schemas.openxmlformats.org/drawingml/2006/picture">
                        <pic:nvPicPr>
                          <pic:cNvPr id="221" name="AutoShape_1158_SpCnt_70"/>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14" name="AutoShape_1158_SpCnt_71"/>
                  <wp:cNvGraphicFramePr/>
                  <a:graphic xmlns:a="http://schemas.openxmlformats.org/drawingml/2006/main">
                    <a:graphicData uri="http://schemas.openxmlformats.org/drawingml/2006/picture">
                      <pic:pic xmlns:pic="http://schemas.openxmlformats.org/drawingml/2006/picture">
                        <pic:nvPicPr>
                          <pic:cNvPr id="214" name="AutoShape_1158_SpCnt_71"/>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19" name="AutoShape_1158_SpCnt_72"/>
                  <wp:cNvGraphicFramePr/>
                  <a:graphic xmlns:a="http://schemas.openxmlformats.org/drawingml/2006/main">
                    <a:graphicData uri="http://schemas.openxmlformats.org/drawingml/2006/picture">
                      <pic:pic xmlns:pic="http://schemas.openxmlformats.org/drawingml/2006/picture">
                        <pic:nvPicPr>
                          <pic:cNvPr id="219" name="AutoShape_1158_SpCnt_72"/>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27" name="AutoShape_1158_SpCnt_73"/>
                  <wp:cNvGraphicFramePr/>
                  <a:graphic xmlns:a="http://schemas.openxmlformats.org/drawingml/2006/main">
                    <a:graphicData uri="http://schemas.openxmlformats.org/drawingml/2006/picture">
                      <pic:pic xmlns:pic="http://schemas.openxmlformats.org/drawingml/2006/picture">
                        <pic:nvPicPr>
                          <pic:cNvPr id="227" name="AutoShape_1158_SpCnt_73"/>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28" name="AutoShape_1158_SpCnt_74"/>
                  <wp:cNvGraphicFramePr/>
                  <a:graphic xmlns:a="http://schemas.openxmlformats.org/drawingml/2006/main">
                    <a:graphicData uri="http://schemas.openxmlformats.org/drawingml/2006/picture">
                      <pic:pic xmlns:pic="http://schemas.openxmlformats.org/drawingml/2006/picture">
                        <pic:nvPicPr>
                          <pic:cNvPr id="228" name="AutoShape_1158_SpCnt_74"/>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12" name="AutoShape_1158_SpCnt_75"/>
                  <wp:cNvGraphicFramePr/>
                  <a:graphic xmlns:a="http://schemas.openxmlformats.org/drawingml/2006/main">
                    <a:graphicData uri="http://schemas.openxmlformats.org/drawingml/2006/picture">
                      <pic:pic xmlns:pic="http://schemas.openxmlformats.org/drawingml/2006/picture">
                        <pic:nvPicPr>
                          <pic:cNvPr id="212" name="AutoShape_1158_SpCnt_75"/>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15" name="AutoShape_1158_SpCnt_76"/>
                  <wp:cNvGraphicFramePr/>
                  <a:graphic xmlns:a="http://schemas.openxmlformats.org/drawingml/2006/main">
                    <a:graphicData uri="http://schemas.openxmlformats.org/drawingml/2006/picture">
                      <pic:pic xmlns:pic="http://schemas.openxmlformats.org/drawingml/2006/picture">
                        <pic:nvPicPr>
                          <pic:cNvPr id="215" name="AutoShape_1158_SpCnt_76"/>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22" name="AutoShape_1158_SpCnt_77"/>
                  <wp:cNvGraphicFramePr/>
                  <a:graphic xmlns:a="http://schemas.openxmlformats.org/drawingml/2006/main">
                    <a:graphicData uri="http://schemas.openxmlformats.org/drawingml/2006/picture">
                      <pic:pic xmlns:pic="http://schemas.openxmlformats.org/drawingml/2006/picture">
                        <pic:nvPicPr>
                          <pic:cNvPr id="222" name="AutoShape_1158_SpCnt_77"/>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29" name="AutoShape_1158_SpCnt_78"/>
                  <wp:cNvGraphicFramePr/>
                  <a:graphic xmlns:a="http://schemas.openxmlformats.org/drawingml/2006/main">
                    <a:graphicData uri="http://schemas.openxmlformats.org/drawingml/2006/picture">
                      <pic:pic xmlns:pic="http://schemas.openxmlformats.org/drawingml/2006/picture">
                        <pic:nvPicPr>
                          <pic:cNvPr id="229" name="AutoShape_1158_SpCnt_78"/>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08" name="AutoShape_1158_SpCnt_79"/>
                  <wp:cNvGraphicFramePr/>
                  <a:graphic xmlns:a="http://schemas.openxmlformats.org/drawingml/2006/main">
                    <a:graphicData uri="http://schemas.openxmlformats.org/drawingml/2006/picture">
                      <pic:pic xmlns:pic="http://schemas.openxmlformats.org/drawingml/2006/picture">
                        <pic:nvPicPr>
                          <pic:cNvPr id="208" name="AutoShape_1158_SpCnt_79"/>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none" w:color="auto" w:sz="0" w:space="0"/>
                <w:lang w:val="en-US" w:eastAsia="zh-CN" w:bidi="ar"/>
              </w:rPr>
              <w:t xml:space="preserve">1、采用优质E0级环保高密度刨花板，连续压机生产，甲醛释放量&lt;3mg/100g，                                                                                                                                                    2、饰面纸：采用德国夏特其表面硬度是一般油漆的3倍，耐刮、耐磨、耐腐蚀、耐高温、不怕烟头烫；采用纯三聚氰胺浸胶，使表面透明度更好，耐污性更强。         </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 xml:space="preserve">  3、PVC封边：优质厚PVC封边带，厚度≥2mm，;；                                                                                                     4.胶水：采用”热熔胶或同级别品牌；                                                                       5.五金配件：采用品牌优质五金连接件。                                                                                                                                                              6.结构：采用无拉手设计，简洁干净，美观又大气，每边配置3抽固定柜，带侧装锁，附柜底脚和台脚配有高度调节功能，柜内含86插座装饰盒内部设计了6个86插座安装孔位和上线通道。</w:t>
            </w:r>
          </w:p>
        </w:tc>
        <w:tc>
          <w:tcPr>
            <w:tcW w:w="86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c>
          <w:tcPr>
            <w:tcW w:w="84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c>
          <w:tcPr>
            <w:tcW w:w="59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380" w:hRule="atLeast"/>
        </w:trPr>
        <w:tc>
          <w:tcPr>
            <w:tcW w:w="989" w:type="dxa"/>
            <w:vMerge w:val="continue"/>
            <w:tcBorders>
              <w:top w:val="nil"/>
              <w:left w:val="single" w:color="000000" w:sz="4" w:space="0"/>
              <w:bottom w:val="nil"/>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17</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文件柜</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220980</wp:posOffset>
                  </wp:positionH>
                  <wp:positionV relativeFrom="paragraph">
                    <wp:posOffset>267970</wp:posOffset>
                  </wp:positionV>
                  <wp:extent cx="1479550" cy="1089025"/>
                  <wp:effectExtent l="0" t="0" r="6350" b="3175"/>
                  <wp:wrapNone/>
                  <wp:docPr id="211" name="图片_672"/>
                  <wp:cNvGraphicFramePr/>
                  <a:graphic xmlns:a="http://schemas.openxmlformats.org/drawingml/2006/main">
                    <a:graphicData uri="http://schemas.openxmlformats.org/drawingml/2006/picture">
                      <pic:pic xmlns:pic="http://schemas.openxmlformats.org/drawingml/2006/picture">
                        <pic:nvPicPr>
                          <pic:cNvPr id="211" name="图片_672"/>
                          <pic:cNvPicPr/>
                        </pic:nvPicPr>
                        <pic:blipFill>
                          <a:blip r:embed="rId28"/>
                          <a:stretch>
                            <a:fillRect/>
                          </a:stretch>
                        </pic:blipFill>
                        <pic:spPr>
                          <a:xfrm>
                            <a:off x="0" y="0"/>
                            <a:ext cx="1479550" cy="1089025"/>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2400W*400D*1900H</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组</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 xml:space="preserve">1、采用优质E0级环保高密度刨花板，连续压机生产，甲醛释放量&lt;3mg/100g，                                                                                                                                                    2、饰面纸：采用德国夏特其表面硬度是一般油漆的3倍，耐刮、耐磨、耐腐蚀、耐高温、不怕烟头烫；采用纯三聚氰胺浸胶，使表面透明度更好，耐污性更强。         </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 xml:space="preserve">  3、PVC封边：优质厚PVC封边带，厚度≥2mm，;；                                                                                                     4.胶水：采用”热熔胶或同级别品牌；                                                                       5.五金配件：采用品牌优质五金连接件。 </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380" w:hRule="atLeast"/>
        </w:trPr>
        <w:tc>
          <w:tcPr>
            <w:tcW w:w="989" w:type="dxa"/>
            <w:vMerge w:val="continue"/>
            <w:tcBorders>
              <w:top w:val="nil"/>
              <w:left w:val="single" w:color="000000" w:sz="4" w:space="0"/>
              <w:bottom w:val="nil"/>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18</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椅子</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566420</wp:posOffset>
                  </wp:positionH>
                  <wp:positionV relativeFrom="paragraph">
                    <wp:posOffset>34290</wp:posOffset>
                  </wp:positionV>
                  <wp:extent cx="880110" cy="1440180"/>
                  <wp:effectExtent l="0" t="0" r="8890" b="7620"/>
                  <wp:wrapNone/>
                  <wp:docPr id="202" name="图片_1"/>
                  <wp:cNvGraphicFramePr/>
                  <a:graphic xmlns:a="http://schemas.openxmlformats.org/drawingml/2006/main">
                    <a:graphicData uri="http://schemas.openxmlformats.org/drawingml/2006/picture">
                      <pic:pic xmlns:pic="http://schemas.openxmlformats.org/drawingml/2006/picture">
                        <pic:nvPicPr>
                          <pic:cNvPr id="202" name="图片_1"/>
                          <pic:cNvPicPr/>
                        </pic:nvPicPr>
                        <pic:blipFill>
                          <a:blip r:embed="rId29"/>
                          <a:stretch>
                            <a:fillRect/>
                          </a:stretch>
                        </pic:blipFill>
                        <pic:spPr>
                          <a:xfrm>
                            <a:off x="0" y="0"/>
                            <a:ext cx="880110" cy="1440180"/>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665W*600D*930H</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把</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03" name="AutoShape_1158_SpCnt_80"/>
                  <wp:cNvGraphicFramePr/>
                  <a:graphic xmlns:a="http://schemas.openxmlformats.org/drawingml/2006/main">
                    <a:graphicData uri="http://schemas.openxmlformats.org/drawingml/2006/picture">
                      <pic:pic xmlns:pic="http://schemas.openxmlformats.org/drawingml/2006/picture">
                        <pic:nvPicPr>
                          <pic:cNvPr id="203" name="AutoShape_1158_SpCnt_80"/>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23" name="AutoShape_1158_SpCnt_81"/>
                  <wp:cNvGraphicFramePr/>
                  <a:graphic xmlns:a="http://schemas.openxmlformats.org/drawingml/2006/main">
                    <a:graphicData uri="http://schemas.openxmlformats.org/drawingml/2006/picture">
                      <pic:pic xmlns:pic="http://schemas.openxmlformats.org/drawingml/2006/picture">
                        <pic:nvPicPr>
                          <pic:cNvPr id="223" name="AutoShape_1158_SpCnt_81"/>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00" name="AutoShape_1158_SpCnt_82"/>
                  <wp:cNvGraphicFramePr/>
                  <a:graphic xmlns:a="http://schemas.openxmlformats.org/drawingml/2006/main">
                    <a:graphicData uri="http://schemas.openxmlformats.org/drawingml/2006/picture">
                      <pic:pic xmlns:pic="http://schemas.openxmlformats.org/drawingml/2006/picture">
                        <pic:nvPicPr>
                          <pic:cNvPr id="200" name="AutoShape_1158_SpCnt_82"/>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30" name="AutoShape_1158_SpCnt_83"/>
                  <wp:cNvGraphicFramePr/>
                  <a:graphic xmlns:a="http://schemas.openxmlformats.org/drawingml/2006/main">
                    <a:graphicData uri="http://schemas.openxmlformats.org/drawingml/2006/picture">
                      <pic:pic xmlns:pic="http://schemas.openxmlformats.org/drawingml/2006/picture">
                        <pic:nvPicPr>
                          <pic:cNvPr id="230" name="AutoShape_1158_SpCnt_83"/>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31" name="AutoShape_1158_SpCnt_84"/>
                  <wp:cNvGraphicFramePr/>
                  <a:graphic xmlns:a="http://schemas.openxmlformats.org/drawingml/2006/main">
                    <a:graphicData uri="http://schemas.openxmlformats.org/drawingml/2006/picture">
                      <pic:pic xmlns:pic="http://schemas.openxmlformats.org/drawingml/2006/picture">
                        <pic:nvPicPr>
                          <pic:cNvPr id="231" name="AutoShape_1158_SpCnt_84"/>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09" name="AutoShape_1158_SpCnt_85"/>
                  <wp:cNvGraphicFramePr/>
                  <a:graphic xmlns:a="http://schemas.openxmlformats.org/drawingml/2006/main">
                    <a:graphicData uri="http://schemas.openxmlformats.org/drawingml/2006/picture">
                      <pic:pic xmlns:pic="http://schemas.openxmlformats.org/drawingml/2006/picture">
                        <pic:nvPicPr>
                          <pic:cNvPr id="209" name="AutoShape_1158_SpCnt_85"/>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05" name="AutoShape_1158_SpCnt_86"/>
                  <wp:cNvGraphicFramePr/>
                  <a:graphic xmlns:a="http://schemas.openxmlformats.org/drawingml/2006/main">
                    <a:graphicData uri="http://schemas.openxmlformats.org/drawingml/2006/picture">
                      <pic:pic xmlns:pic="http://schemas.openxmlformats.org/drawingml/2006/picture">
                        <pic:nvPicPr>
                          <pic:cNvPr id="205" name="AutoShape_1158_SpCnt_86"/>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10" name="AutoShape_1158_SpCnt_87"/>
                  <wp:cNvGraphicFramePr/>
                  <a:graphic xmlns:a="http://schemas.openxmlformats.org/drawingml/2006/main">
                    <a:graphicData uri="http://schemas.openxmlformats.org/drawingml/2006/picture">
                      <pic:pic xmlns:pic="http://schemas.openxmlformats.org/drawingml/2006/picture">
                        <pic:nvPicPr>
                          <pic:cNvPr id="210" name="AutoShape_1158_SpCnt_87"/>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16" name="AutoShape_1158_SpCnt_88"/>
                  <wp:cNvGraphicFramePr/>
                  <a:graphic xmlns:a="http://schemas.openxmlformats.org/drawingml/2006/main">
                    <a:graphicData uri="http://schemas.openxmlformats.org/drawingml/2006/picture">
                      <pic:pic xmlns:pic="http://schemas.openxmlformats.org/drawingml/2006/picture">
                        <pic:nvPicPr>
                          <pic:cNvPr id="216" name="AutoShape_1158_SpCnt_88"/>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17" name="AutoShape_1158_SpCnt_89"/>
                  <wp:cNvGraphicFramePr/>
                  <a:graphic xmlns:a="http://schemas.openxmlformats.org/drawingml/2006/main">
                    <a:graphicData uri="http://schemas.openxmlformats.org/drawingml/2006/picture">
                      <pic:pic xmlns:pic="http://schemas.openxmlformats.org/drawingml/2006/picture">
                        <pic:nvPicPr>
                          <pic:cNvPr id="217" name="AutoShape_1158_SpCnt_89"/>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18" name="AutoShape_1158_SpCnt_90"/>
                  <wp:cNvGraphicFramePr/>
                  <a:graphic xmlns:a="http://schemas.openxmlformats.org/drawingml/2006/main">
                    <a:graphicData uri="http://schemas.openxmlformats.org/drawingml/2006/picture">
                      <pic:pic xmlns:pic="http://schemas.openxmlformats.org/drawingml/2006/picture">
                        <pic:nvPicPr>
                          <pic:cNvPr id="218" name="AutoShape_1158_SpCnt_90"/>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33" name="AutoShape_1158_SpCnt_91"/>
                  <wp:cNvGraphicFramePr/>
                  <a:graphic xmlns:a="http://schemas.openxmlformats.org/drawingml/2006/main">
                    <a:graphicData uri="http://schemas.openxmlformats.org/drawingml/2006/picture">
                      <pic:pic xmlns:pic="http://schemas.openxmlformats.org/drawingml/2006/picture">
                        <pic:nvPicPr>
                          <pic:cNvPr id="233" name="AutoShape_1158_SpCnt_91"/>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43" name="AutoShape_1158_SpCnt_92"/>
                  <wp:cNvGraphicFramePr/>
                  <a:graphic xmlns:a="http://schemas.openxmlformats.org/drawingml/2006/main">
                    <a:graphicData uri="http://schemas.openxmlformats.org/drawingml/2006/picture">
                      <pic:pic xmlns:pic="http://schemas.openxmlformats.org/drawingml/2006/picture">
                        <pic:nvPicPr>
                          <pic:cNvPr id="243" name="AutoShape_1158_SpCnt_92"/>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47" name="AutoShape_1158_SpCnt_93"/>
                  <wp:cNvGraphicFramePr/>
                  <a:graphic xmlns:a="http://schemas.openxmlformats.org/drawingml/2006/main">
                    <a:graphicData uri="http://schemas.openxmlformats.org/drawingml/2006/picture">
                      <pic:pic xmlns:pic="http://schemas.openxmlformats.org/drawingml/2006/picture">
                        <pic:nvPicPr>
                          <pic:cNvPr id="247" name="AutoShape_1158_SpCnt_93"/>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46" name="AutoShape_1158_SpCnt_94"/>
                  <wp:cNvGraphicFramePr/>
                  <a:graphic xmlns:a="http://schemas.openxmlformats.org/drawingml/2006/main">
                    <a:graphicData uri="http://schemas.openxmlformats.org/drawingml/2006/picture">
                      <pic:pic xmlns:pic="http://schemas.openxmlformats.org/drawingml/2006/picture">
                        <pic:nvPicPr>
                          <pic:cNvPr id="246" name="AutoShape_1158_SpCnt_94"/>
                          <pic:cNvPicPr/>
                        </pic:nvPicPr>
                        <pic:blipFill>
                          <a:blip r:embed="rId8"/>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none" w:color="auto" w:sz="0" w:space="0"/>
                <w:lang w:val="en-US" w:eastAsia="zh-CN" w:bidi="ar"/>
              </w:rPr>
              <w:t>· 灰色尼龙加纤椅身，配尼龙特网， 设有附合人体工程学的上下调节8档的腰靠</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 椅座为灰色尼龙加纤椅架，配尼龙特网，设有前后5档滑动功能</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·黑色PU扶手面灰色3D升降扶手撑，7档升降</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·配黑色四档线控锁定底盘</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·65#沉口5公分黑色汽杆</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 xml:space="preserve">·∮340灰色PP加纤脚                                                                             </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·∮60MM 尼龙黑色轮</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480" w:hRule="atLeast"/>
        </w:trPr>
        <w:tc>
          <w:tcPr>
            <w:tcW w:w="989" w:type="dxa"/>
            <w:vMerge w:val="continue"/>
            <w:tcBorders>
              <w:top w:val="nil"/>
              <w:left w:val="single" w:color="000000" w:sz="4" w:space="0"/>
              <w:bottom w:val="nil"/>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19</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班前椅</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473710</wp:posOffset>
                  </wp:positionH>
                  <wp:positionV relativeFrom="paragraph">
                    <wp:posOffset>463550</wp:posOffset>
                  </wp:positionV>
                  <wp:extent cx="873125" cy="1069340"/>
                  <wp:effectExtent l="0" t="0" r="3175" b="10160"/>
                  <wp:wrapNone/>
                  <wp:docPr id="253" name="图片_10"/>
                  <wp:cNvGraphicFramePr/>
                  <a:graphic xmlns:a="http://schemas.openxmlformats.org/drawingml/2006/main">
                    <a:graphicData uri="http://schemas.openxmlformats.org/drawingml/2006/picture">
                      <pic:pic xmlns:pic="http://schemas.openxmlformats.org/drawingml/2006/picture">
                        <pic:nvPicPr>
                          <pic:cNvPr id="253" name="图片_10"/>
                          <pic:cNvPicPr/>
                        </pic:nvPicPr>
                        <pic:blipFill>
                          <a:blip r:embed="rId30"/>
                          <a:stretch>
                            <a:fillRect/>
                          </a:stretch>
                        </pic:blipFill>
                        <pic:spPr>
                          <a:xfrm>
                            <a:off x="0" y="0"/>
                            <a:ext cx="873125" cy="1069340"/>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620W*450D*820H</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把</w:t>
            </w:r>
          </w:p>
        </w:tc>
        <w:tc>
          <w:tcPr>
            <w:tcW w:w="582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PP+纤维注塑一体成型椅背，座面采用优质绒布饰面，40密度高弹力海绵，具有回弹力强、不易变形、透气性强、坐感舒适。1.8厚架，管壁钢材经弯制而成</w:t>
            </w:r>
          </w:p>
        </w:tc>
        <w:tc>
          <w:tcPr>
            <w:tcW w:w="86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380" w:hRule="atLeast"/>
        </w:trPr>
        <w:tc>
          <w:tcPr>
            <w:tcW w:w="989" w:type="dxa"/>
            <w:vMerge w:val="continue"/>
            <w:tcBorders>
              <w:top w:val="nil"/>
              <w:left w:val="single" w:color="000000" w:sz="4" w:space="0"/>
              <w:bottom w:val="nil"/>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20</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三人沙发</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259080</wp:posOffset>
                  </wp:positionH>
                  <wp:positionV relativeFrom="paragraph">
                    <wp:posOffset>359410</wp:posOffset>
                  </wp:positionV>
                  <wp:extent cx="1481455" cy="1019175"/>
                  <wp:effectExtent l="0" t="0" r="4445" b="9525"/>
                  <wp:wrapNone/>
                  <wp:docPr id="252" name="图片_674"/>
                  <wp:cNvGraphicFramePr/>
                  <a:graphic xmlns:a="http://schemas.openxmlformats.org/drawingml/2006/main">
                    <a:graphicData uri="http://schemas.openxmlformats.org/drawingml/2006/picture">
                      <pic:pic xmlns:pic="http://schemas.openxmlformats.org/drawingml/2006/picture">
                        <pic:nvPicPr>
                          <pic:cNvPr id="252" name="图片_674"/>
                          <pic:cNvPicPr/>
                        </pic:nvPicPr>
                        <pic:blipFill>
                          <a:blip r:embed="rId31"/>
                          <a:stretch>
                            <a:fillRect/>
                          </a:stretch>
                        </pic:blipFill>
                        <pic:spPr>
                          <a:xfrm>
                            <a:off x="0" y="0"/>
                            <a:ext cx="1481455" cy="1019175"/>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1800W*800D*780H</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只</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优质纳帕纹西皮饰面</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·40密度高弹力海绵</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.靠背/扶手为AAA级公仔棉</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·合金黑色磨纱沙发脚</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·外围采用25mm定型板结构</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·配锰钢蛇簧加平衡线处理，</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440" w:hRule="atLeast"/>
        </w:trPr>
        <w:tc>
          <w:tcPr>
            <w:tcW w:w="989"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br w:type="textWrapping"/>
            </w:r>
            <w:r>
              <w:rPr>
                <w:rFonts w:hint="eastAsia" w:ascii="仿宋" w:hAnsi="仿宋" w:eastAsia="仿宋" w:cs="仿宋"/>
                <w:b/>
                <w:bCs/>
                <w:i w:val="0"/>
                <w:iCs w:val="0"/>
                <w:color w:val="000000"/>
                <w:kern w:val="0"/>
                <w:sz w:val="22"/>
                <w:szCs w:val="22"/>
                <w:u w:val="none"/>
                <w:bdr w:val="none" w:color="auto" w:sz="0" w:space="0"/>
                <w:lang w:val="en-US" w:eastAsia="zh-CN" w:bidi="ar"/>
              </w:rPr>
              <w:t>教师办公室</w:t>
            </w: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21</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办公桌</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534035</wp:posOffset>
                  </wp:positionV>
                  <wp:extent cx="1638300" cy="1042670"/>
                  <wp:effectExtent l="0" t="0" r="0" b="11430"/>
                  <wp:wrapNone/>
                  <wp:docPr id="240" name="图片_562"/>
                  <wp:cNvGraphicFramePr/>
                  <a:graphic xmlns:a="http://schemas.openxmlformats.org/drawingml/2006/main">
                    <a:graphicData uri="http://schemas.openxmlformats.org/drawingml/2006/picture">
                      <pic:pic xmlns:pic="http://schemas.openxmlformats.org/drawingml/2006/picture">
                        <pic:nvPicPr>
                          <pic:cNvPr id="240" name="图片_562"/>
                          <pic:cNvPicPr/>
                        </pic:nvPicPr>
                        <pic:blipFill>
                          <a:blip r:embed="rId32"/>
                          <a:stretch>
                            <a:fillRect/>
                          </a:stretch>
                        </pic:blipFill>
                        <pic:spPr>
                          <a:xfrm>
                            <a:off x="0" y="0"/>
                            <a:ext cx="1638300" cy="1042670"/>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1200W*600D*750H</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24</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位</w:t>
            </w:r>
          </w:p>
        </w:tc>
        <w:tc>
          <w:tcPr>
            <w:tcW w:w="582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59" name="AutoShape_1158_SpCnt_95"/>
                  <wp:cNvGraphicFramePr/>
                  <a:graphic xmlns:a="http://schemas.openxmlformats.org/drawingml/2006/main">
                    <a:graphicData uri="http://schemas.openxmlformats.org/drawingml/2006/picture">
                      <pic:pic xmlns:pic="http://schemas.openxmlformats.org/drawingml/2006/picture">
                        <pic:nvPicPr>
                          <pic:cNvPr id="259" name="AutoShape_1158_SpCnt_95"/>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54" name="AutoShape_1158_SpCnt_96"/>
                  <wp:cNvGraphicFramePr/>
                  <a:graphic xmlns:a="http://schemas.openxmlformats.org/drawingml/2006/main">
                    <a:graphicData uri="http://schemas.openxmlformats.org/drawingml/2006/picture">
                      <pic:pic xmlns:pic="http://schemas.openxmlformats.org/drawingml/2006/picture">
                        <pic:nvPicPr>
                          <pic:cNvPr id="254" name="AutoShape_1158_SpCnt_96"/>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41" name="AutoShape_1158_SpCnt_97"/>
                  <wp:cNvGraphicFramePr/>
                  <a:graphic xmlns:a="http://schemas.openxmlformats.org/drawingml/2006/main">
                    <a:graphicData uri="http://schemas.openxmlformats.org/drawingml/2006/picture">
                      <pic:pic xmlns:pic="http://schemas.openxmlformats.org/drawingml/2006/picture">
                        <pic:nvPicPr>
                          <pic:cNvPr id="241" name="AutoShape_1158_SpCnt_97"/>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56" name="AutoShape_1158_SpCnt_98"/>
                  <wp:cNvGraphicFramePr/>
                  <a:graphic xmlns:a="http://schemas.openxmlformats.org/drawingml/2006/main">
                    <a:graphicData uri="http://schemas.openxmlformats.org/drawingml/2006/picture">
                      <pic:pic xmlns:pic="http://schemas.openxmlformats.org/drawingml/2006/picture">
                        <pic:nvPicPr>
                          <pic:cNvPr id="256" name="AutoShape_1158_SpCnt_98"/>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36" name="AutoShape_1158_SpCnt_99"/>
                  <wp:cNvGraphicFramePr/>
                  <a:graphic xmlns:a="http://schemas.openxmlformats.org/drawingml/2006/main">
                    <a:graphicData uri="http://schemas.openxmlformats.org/drawingml/2006/picture">
                      <pic:pic xmlns:pic="http://schemas.openxmlformats.org/drawingml/2006/picture">
                        <pic:nvPicPr>
                          <pic:cNvPr id="236" name="AutoShape_1158_SpCnt_99"/>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39" name="AutoShape_1158_SpCnt_100"/>
                  <wp:cNvGraphicFramePr/>
                  <a:graphic xmlns:a="http://schemas.openxmlformats.org/drawingml/2006/main">
                    <a:graphicData uri="http://schemas.openxmlformats.org/drawingml/2006/picture">
                      <pic:pic xmlns:pic="http://schemas.openxmlformats.org/drawingml/2006/picture">
                        <pic:nvPicPr>
                          <pic:cNvPr id="239" name="AutoShape_1158_SpCnt_100"/>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48" name="AutoShape_1158_SpCnt_101"/>
                  <wp:cNvGraphicFramePr/>
                  <a:graphic xmlns:a="http://schemas.openxmlformats.org/drawingml/2006/main">
                    <a:graphicData uri="http://schemas.openxmlformats.org/drawingml/2006/picture">
                      <pic:pic xmlns:pic="http://schemas.openxmlformats.org/drawingml/2006/picture">
                        <pic:nvPicPr>
                          <pic:cNvPr id="248" name="AutoShape_1158_SpCnt_101"/>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42" name="AutoShape_1158_SpCnt_102"/>
                  <wp:cNvGraphicFramePr/>
                  <a:graphic xmlns:a="http://schemas.openxmlformats.org/drawingml/2006/main">
                    <a:graphicData uri="http://schemas.openxmlformats.org/drawingml/2006/picture">
                      <pic:pic xmlns:pic="http://schemas.openxmlformats.org/drawingml/2006/picture">
                        <pic:nvPicPr>
                          <pic:cNvPr id="242" name="AutoShape_1158_SpCnt_102"/>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61" name="AutoShape_1158_SpCnt_103"/>
                  <wp:cNvGraphicFramePr/>
                  <a:graphic xmlns:a="http://schemas.openxmlformats.org/drawingml/2006/main">
                    <a:graphicData uri="http://schemas.openxmlformats.org/drawingml/2006/picture">
                      <pic:pic xmlns:pic="http://schemas.openxmlformats.org/drawingml/2006/picture">
                        <pic:nvPicPr>
                          <pic:cNvPr id="261" name="AutoShape_1158_SpCnt_103"/>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165" cy="302260"/>
                  <wp:effectExtent l="0" t="0" r="0" b="0"/>
                  <wp:wrapNone/>
                  <wp:docPr id="255" name="AutoShape_1158_SpCnt_104"/>
                  <wp:cNvGraphicFramePr/>
                  <a:graphic xmlns:a="http://schemas.openxmlformats.org/drawingml/2006/main">
                    <a:graphicData uri="http://schemas.openxmlformats.org/drawingml/2006/picture">
                      <pic:pic xmlns:pic="http://schemas.openxmlformats.org/drawingml/2006/picture">
                        <pic:nvPicPr>
                          <pic:cNvPr id="255" name="AutoShape_1158_SpCnt_104"/>
                          <pic:cNvPicPr/>
                        </pic:nvPicPr>
                        <pic:blipFill>
                          <a:blip r:embed="rId13"/>
                          <a:stretch>
                            <a:fillRect/>
                          </a:stretch>
                        </pic:blipFill>
                        <pic:spPr>
                          <a:xfrm>
                            <a:off x="0" y="0"/>
                            <a:ext cx="304165" cy="30226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none" w:color="auto" w:sz="0" w:space="0"/>
                <w:lang w:val="en-US" w:eastAsia="zh-CN" w:bidi="ar"/>
              </w:rPr>
              <w:t xml:space="preserve">1、采用优质E0级环保高密度刨花板，连续压机生产，甲醛释放量&lt;3mg/100g，30款铝材                                                                                                                                                    2、饰面纸：采用其表面硬度是一般油漆的3倍，耐刮、耐磨、耐腐蚀、耐高温、不怕烟头烫；采用纯三聚氰胺浸胶，使表面透明度更好，耐污性更强。         </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 xml:space="preserve">  3、PVC封边：优质厚PVC封边带，厚度≥2mm，;；                                                                                                     4.胶水：采用”热熔胶或同级别品牌；                                                                       5.五金配件：采用品牌优质五金连接件。                                                                                                                                                              6.结构：采用无拉手设计，简洁干净，美观又大气，每边配置3抽固定柜，带侧装锁，附柜底脚和台脚配有高度调节功能，柜内含86插座装饰盒内部设计了6个86插座安装孔位和上线通道。</w:t>
            </w:r>
          </w:p>
        </w:tc>
        <w:tc>
          <w:tcPr>
            <w:tcW w:w="86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c>
          <w:tcPr>
            <w:tcW w:w="84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c>
          <w:tcPr>
            <w:tcW w:w="59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380"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22</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椅子</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382270</wp:posOffset>
                  </wp:positionH>
                  <wp:positionV relativeFrom="paragraph">
                    <wp:posOffset>266700</wp:posOffset>
                  </wp:positionV>
                  <wp:extent cx="873125" cy="1069340"/>
                  <wp:effectExtent l="0" t="0" r="3175" b="10160"/>
                  <wp:wrapNone/>
                  <wp:docPr id="251" name="图片_599"/>
                  <wp:cNvGraphicFramePr/>
                  <a:graphic xmlns:a="http://schemas.openxmlformats.org/drawingml/2006/main">
                    <a:graphicData uri="http://schemas.openxmlformats.org/drawingml/2006/picture">
                      <pic:pic xmlns:pic="http://schemas.openxmlformats.org/drawingml/2006/picture">
                        <pic:nvPicPr>
                          <pic:cNvPr id="251" name="图片_599"/>
                          <pic:cNvPicPr/>
                        </pic:nvPicPr>
                        <pic:blipFill>
                          <a:blip r:embed="rId30"/>
                          <a:stretch>
                            <a:fillRect/>
                          </a:stretch>
                        </pic:blipFill>
                        <pic:spPr>
                          <a:xfrm>
                            <a:off x="0" y="0"/>
                            <a:ext cx="873125" cy="1069340"/>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665W*600D*930H</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24</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把</w:t>
            </w:r>
          </w:p>
        </w:tc>
        <w:tc>
          <w:tcPr>
            <w:tcW w:w="582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35" name="AutoShape_1158_SpCnt_105"/>
                  <wp:cNvGraphicFramePr/>
                  <a:graphic xmlns:a="http://schemas.openxmlformats.org/drawingml/2006/main">
                    <a:graphicData uri="http://schemas.openxmlformats.org/drawingml/2006/picture">
                      <pic:pic xmlns:pic="http://schemas.openxmlformats.org/drawingml/2006/picture">
                        <pic:nvPicPr>
                          <pic:cNvPr id="235" name="AutoShape_1158_SpCnt_105"/>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37" name="AutoShape_1158_SpCnt_106"/>
                  <wp:cNvGraphicFramePr/>
                  <a:graphic xmlns:a="http://schemas.openxmlformats.org/drawingml/2006/main">
                    <a:graphicData uri="http://schemas.openxmlformats.org/drawingml/2006/picture">
                      <pic:pic xmlns:pic="http://schemas.openxmlformats.org/drawingml/2006/picture">
                        <pic:nvPicPr>
                          <pic:cNvPr id="237" name="AutoShape_1158_SpCnt_106"/>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49" name="AutoShape_1158_SpCnt_107"/>
                  <wp:cNvGraphicFramePr/>
                  <a:graphic xmlns:a="http://schemas.openxmlformats.org/drawingml/2006/main">
                    <a:graphicData uri="http://schemas.openxmlformats.org/drawingml/2006/picture">
                      <pic:pic xmlns:pic="http://schemas.openxmlformats.org/drawingml/2006/picture">
                        <pic:nvPicPr>
                          <pic:cNvPr id="249" name="AutoShape_1158_SpCnt_107"/>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57" name="AutoShape_1158_SpCnt_108"/>
                  <wp:cNvGraphicFramePr/>
                  <a:graphic xmlns:a="http://schemas.openxmlformats.org/drawingml/2006/main">
                    <a:graphicData uri="http://schemas.openxmlformats.org/drawingml/2006/picture">
                      <pic:pic xmlns:pic="http://schemas.openxmlformats.org/drawingml/2006/picture">
                        <pic:nvPicPr>
                          <pic:cNvPr id="257" name="AutoShape_1158_SpCnt_108"/>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38" name="AutoShape_1158_SpCnt_109"/>
                  <wp:cNvGraphicFramePr/>
                  <a:graphic xmlns:a="http://schemas.openxmlformats.org/drawingml/2006/main">
                    <a:graphicData uri="http://schemas.openxmlformats.org/drawingml/2006/picture">
                      <pic:pic xmlns:pic="http://schemas.openxmlformats.org/drawingml/2006/picture">
                        <pic:nvPicPr>
                          <pic:cNvPr id="238" name="AutoShape_1158_SpCnt_109"/>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34" name="AutoShape_1158_SpCnt_110"/>
                  <wp:cNvGraphicFramePr/>
                  <a:graphic xmlns:a="http://schemas.openxmlformats.org/drawingml/2006/main">
                    <a:graphicData uri="http://schemas.openxmlformats.org/drawingml/2006/picture">
                      <pic:pic xmlns:pic="http://schemas.openxmlformats.org/drawingml/2006/picture">
                        <pic:nvPicPr>
                          <pic:cNvPr id="234" name="AutoShape_1158_SpCnt_110"/>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44" name="AutoShape_1158_SpCnt_111"/>
                  <wp:cNvGraphicFramePr/>
                  <a:graphic xmlns:a="http://schemas.openxmlformats.org/drawingml/2006/main">
                    <a:graphicData uri="http://schemas.openxmlformats.org/drawingml/2006/picture">
                      <pic:pic xmlns:pic="http://schemas.openxmlformats.org/drawingml/2006/picture">
                        <pic:nvPicPr>
                          <pic:cNvPr id="244" name="AutoShape_1158_SpCnt_111"/>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58" name="AutoShape_1158_SpCnt_112"/>
                  <wp:cNvGraphicFramePr/>
                  <a:graphic xmlns:a="http://schemas.openxmlformats.org/drawingml/2006/main">
                    <a:graphicData uri="http://schemas.openxmlformats.org/drawingml/2006/picture">
                      <pic:pic xmlns:pic="http://schemas.openxmlformats.org/drawingml/2006/picture">
                        <pic:nvPicPr>
                          <pic:cNvPr id="258" name="AutoShape_1158_SpCnt_112"/>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50" name="AutoShape_1158_SpCnt_113"/>
                  <wp:cNvGraphicFramePr/>
                  <a:graphic xmlns:a="http://schemas.openxmlformats.org/drawingml/2006/main">
                    <a:graphicData uri="http://schemas.openxmlformats.org/drawingml/2006/picture">
                      <pic:pic xmlns:pic="http://schemas.openxmlformats.org/drawingml/2006/picture">
                        <pic:nvPicPr>
                          <pic:cNvPr id="250" name="AutoShape_1158_SpCnt_113"/>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45" name="AutoShape_1158_SpCnt_114"/>
                  <wp:cNvGraphicFramePr/>
                  <a:graphic xmlns:a="http://schemas.openxmlformats.org/drawingml/2006/main">
                    <a:graphicData uri="http://schemas.openxmlformats.org/drawingml/2006/picture">
                      <pic:pic xmlns:pic="http://schemas.openxmlformats.org/drawingml/2006/picture">
                        <pic:nvPicPr>
                          <pic:cNvPr id="245" name="AutoShape_1158_SpCnt_114"/>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60" name="AutoShape_1158_SpCnt_115"/>
                  <wp:cNvGraphicFramePr/>
                  <a:graphic xmlns:a="http://schemas.openxmlformats.org/drawingml/2006/main">
                    <a:graphicData uri="http://schemas.openxmlformats.org/drawingml/2006/picture">
                      <pic:pic xmlns:pic="http://schemas.openxmlformats.org/drawingml/2006/picture">
                        <pic:nvPicPr>
                          <pic:cNvPr id="260" name="AutoShape_1158_SpCnt_115"/>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62" name="AutoShape_1158_SpCnt_116"/>
                  <wp:cNvGraphicFramePr/>
                  <a:graphic xmlns:a="http://schemas.openxmlformats.org/drawingml/2006/main">
                    <a:graphicData uri="http://schemas.openxmlformats.org/drawingml/2006/picture">
                      <pic:pic xmlns:pic="http://schemas.openxmlformats.org/drawingml/2006/picture">
                        <pic:nvPicPr>
                          <pic:cNvPr id="262" name="AutoShape_1158_SpCnt_116"/>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63" name="AutoShape_1158_SpCnt_117"/>
                  <wp:cNvGraphicFramePr/>
                  <a:graphic xmlns:a="http://schemas.openxmlformats.org/drawingml/2006/main">
                    <a:graphicData uri="http://schemas.openxmlformats.org/drawingml/2006/picture">
                      <pic:pic xmlns:pic="http://schemas.openxmlformats.org/drawingml/2006/picture">
                        <pic:nvPicPr>
                          <pic:cNvPr id="263" name="AutoShape_1158_SpCnt_117"/>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32" name="AutoShape_1158_SpCnt_118"/>
                  <wp:cNvGraphicFramePr/>
                  <a:graphic xmlns:a="http://schemas.openxmlformats.org/drawingml/2006/main">
                    <a:graphicData uri="http://schemas.openxmlformats.org/drawingml/2006/picture">
                      <pic:pic xmlns:pic="http://schemas.openxmlformats.org/drawingml/2006/picture">
                        <pic:nvPicPr>
                          <pic:cNvPr id="232" name="AutoShape_1158_SpCnt_118"/>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3510" cy="153670"/>
                  <wp:effectExtent l="0" t="0" r="0" b="0"/>
                  <wp:wrapNone/>
                  <wp:docPr id="264" name="AutoShape_1158_SpCnt_119"/>
                  <wp:cNvGraphicFramePr/>
                  <a:graphic xmlns:a="http://schemas.openxmlformats.org/drawingml/2006/main">
                    <a:graphicData uri="http://schemas.openxmlformats.org/drawingml/2006/picture">
                      <pic:pic xmlns:pic="http://schemas.openxmlformats.org/drawingml/2006/picture">
                        <pic:nvPicPr>
                          <pic:cNvPr id="264" name="AutoShape_1158_SpCnt_119"/>
                          <pic:cNvPicPr/>
                        </pic:nvPicPr>
                        <pic:blipFill>
                          <a:blip r:embed="rId33"/>
                          <a:stretch>
                            <a:fillRect/>
                          </a:stretch>
                        </pic:blipFill>
                        <pic:spPr>
                          <a:xfrm>
                            <a:off x="0" y="0"/>
                            <a:ext cx="143510" cy="153670"/>
                          </a:xfrm>
                          <a:prstGeom prst="rect">
                            <a:avLst/>
                          </a:prstGeom>
                          <a:noFill/>
                          <a:ln>
                            <a:noFill/>
                          </a:ln>
                        </pic:spPr>
                      </pic:pic>
                    </a:graphicData>
                  </a:graphic>
                </wp:anchor>
              </w:drawing>
            </w:r>
            <w:r>
              <w:rPr>
                <w:rFonts w:hint="eastAsia" w:ascii="仿宋" w:hAnsi="仿宋" w:eastAsia="仿宋" w:cs="仿宋"/>
                <w:i w:val="0"/>
                <w:iCs w:val="0"/>
                <w:color w:val="000000"/>
                <w:kern w:val="0"/>
                <w:sz w:val="18"/>
                <w:szCs w:val="18"/>
                <w:u w:val="none"/>
                <w:bdr w:val="none" w:color="auto" w:sz="0" w:space="0"/>
                <w:lang w:val="en-US" w:eastAsia="zh-CN" w:bidi="ar"/>
              </w:rPr>
              <w:t>PP+纤维注塑一体成型椅背，座面采用优质绒布饰面，40密度高弹力海绵，具有回弹力强、不易变形、透气性强、坐感舒适。1.8厚架，管壁钢材经弯制而成</w:t>
            </w:r>
          </w:p>
        </w:tc>
        <w:tc>
          <w:tcPr>
            <w:tcW w:w="86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c>
          <w:tcPr>
            <w:tcW w:w="84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c>
          <w:tcPr>
            <w:tcW w:w="59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single" w:color="000000" w:sz="4" w:space="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480"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23</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文件柜</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285115</wp:posOffset>
                  </wp:positionH>
                  <wp:positionV relativeFrom="paragraph">
                    <wp:posOffset>248920</wp:posOffset>
                  </wp:positionV>
                  <wp:extent cx="860425" cy="1155700"/>
                  <wp:effectExtent l="0" t="0" r="3175" b="0"/>
                  <wp:wrapNone/>
                  <wp:docPr id="265" name="图片_634"/>
                  <wp:cNvGraphicFramePr/>
                  <a:graphic xmlns:a="http://schemas.openxmlformats.org/drawingml/2006/main">
                    <a:graphicData uri="http://schemas.openxmlformats.org/drawingml/2006/picture">
                      <pic:pic xmlns:pic="http://schemas.openxmlformats.org/drawingml/2006/picture">
                        <pic:nvPicPr>
                          <pic:cNvPr id="265" name="图片_634"/>
                          <pic:cNvPicPr/>
                        </pic:nvPicPr>
                        <pic:blipFill>
                          <a:blip r:embed="rId34"/>
                          <a:stretch>
                            <a:fillRect/>
                          </a:stretch>
                        </pic:blipFill>
                        <pic:spPr>
                          <a:xfrm>
                            <a:off x="0" y="0"/>
                            <a:ext cx="860425" cy="1155700"/>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900W*400D*1800H</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组</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1. 加厚板材：0.8mm裸板；</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2. 拆装结构，可调节高度隔板；</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3. 精加工12mm薄边框；</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4. 环保静电喷塑；</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5. 钢柜专用三级管理锁具；</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480" w:hRule="atLeast"/>
        </w:trPr>
        <w:tc>
          <w:tcPr>
            <w:tcW w:w="989" w:type="dxa"/>
            <w:vMerge w:val="restart"/>
            <w:tcBorders>
              <w:top w:val="nil"/>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t>接待室</w:t>
            </w: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24</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沙发</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697865</wp:posOffset>
                  </wp:positionV>
                  <wp:extent cx="1724660" cy="984885"/>
                  <wp:effectExtent l="0" t="0" r="2540" b="5715"/>
                  <wp:wrapNone/>
                  <wp:docPr id="266" name="图片_7"/>
                  <wp:cNvGraphicFramePr/>
                  <a:graphic xmlns:a="http://schemas.openxmlformats.org/drawingml/2006/main">
                    <a:graphicData uri="http://schemas.openxmlformats.org/drawingml/2006/picture">
                      <pic:pic xmlns:pic="http://schemas.openxmlformats.org/drawingml/2006/picture">
                        <pic:nvPicPr>
                          <pic:cNvPr id="266" name="图片_7"/>
                          <pic:cNvPicPr/>
                        </pic:nvPicPr>
                        <pic:blipFill>
                          <a:blip r:embed="rId35"/>
                          <a:stretch>
                            <a:fillRect/>
                          </a:stretch>
                        </pic:blipFill>
                        <pic:spPr>
                          <a:xfrm>
                            <a:off x="0" y="0"/>
                            <a:ext cx="1724660" cy="984885"/>
                          </a:xfrm>
                          <a:prstGeom prst="rect">
                            <a:avLst/>
                          </a:prstGeom>
                          <a:noFill/>
                          <a:ln>
                            <a:noFill/>
                          </a:ln>
                        </pic:spPr>
                      </pic:pic>
                    </a:graphicData>
                  </a:graphic>
                </wp:anchor>
              </w:drawing>
            </w: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1+1+3</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优质纳帕纹西皮饰面</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·40密度高弹力海绵</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.靠背/扶手为AAA级公仔棉</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·合金黑色磨纱沙发脚</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·外围采用25mm定型板结构</w:t>
            </w:r>
            <w:r>
              <w:rPr>
                <w:rFonts w:hint="eastAsia" w:ascii="仿宋" w:hAnsi="仿宋" w:eastAsia="仿宋" w:cs="仿宋"/>
                <w:i w:val="0"/>
                <w:iCs w:val="0"/>
                <w:color w:val="000000"/>
                <w:kern w:val="0"/>
                <w:sz w:val="18"/>
                <w:szCs w:val="18"/>
                <w:u w:val="none"/>
                <w:bdr w:val="none" w:color="auto" w:sz="0" w:space="0"/>
                <w:lang w:val="en-US" w:eastAsia="zh-CN" w:bidi="ar"/>
              </w:rPr>
              <w:br w:type="textWrapping"/>
            </w:r>
            <w:r>
              <w:rPr>
                <w:rFonts w:hint="eastAsia" w:ascii="仿宋" w:hAnsi="仿宋" w:eastAsia="仿宋" w:cs="仿宋"/>
                <w:i w:val="0"/>
                <w:iCs w:val="0"/>
                <w:color w:val="000000"/>
                <w:kern w:val="0"/>
                <w:sz w:val="18"/>
                <w:szCs w:val="18"/>
                <w:u w:val="none"/>
                <w:bdr w:val="none" w:color="auto" w:sz="0" w:space="0"/>
                <w:lang w:val="en-US" w:eastAsia="zh-CN" w:bidi="ar"/>
              </w:rPr>
              <w:t>·配锰钢蛇簧加平衡线处理，</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480" w:hRule="atLeast"/>
        </w:trPr>
        <w:tc>
          <w:tcPr>
            <w:tcW w:w="989" w:type="dxa"/>
            <w:vMerge w:val="continue"/>
            <w:tcBorders>
              <w:top w:val="nil"/>
              <w:left w:val="single" w:color="000000" w:sz="4" w:space="0"/>
              <w:bottom w:val="nil"/>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25</w:t>
            </w:r>
          </w:p>
        </w:tc>
        <w:tc>
          <w:tcPr>
            <w:tcW w:w="8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茶几</w:t>
            </w:r>
          </w:p>
        </w:tc>
        <w:tc>
          <w:tcPr>
            <w:tcW w:w="216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2"/>
                <w:szCs w:val="22"/>
                <w:u w:val="none"/>
              </w:rPr>
            </w:pPr>
          </w:p>
        </w:tc>
        <w:tc>
          <w:tcPr>
            <w:tcW w:w="122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1200*600*450</w:t>
            </w:r>
          </w:p>
        </w:tc>
        <w:tc>
          <w:tcPr>
            <w:tcW w:w="70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套</w:t>
            </w:r>
          </w:p>
        </w:tc>
        <w:tc>
          <w:tcPr>
            <w:tcW w:w="582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免漆板台面钢架脚</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1060" w:hRule="atLeast"/>
        </w:trPr>
        <w:tc>
          <w:tcPr>
            <w:tcW w:w="989" w:type="dxa"/>
            <w:tcBorders>
              <w:top w:val="nil"/>
              <w:left w:val="single" w:color="000000" w:sz="4" w:space="0"/>
              <w:bottom w:val="nil"/>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12516" w:type="dxa"/>
            <w:gridSpan w:val="7"/>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18"/>
                <w:szCs w:val="18"/>
                <w:u w:val="none"/>
                <w:bdr w:val="none" w:color="auto" w:sz="0" w:space="0"/>
                <w:lang w:val="en-US" w:eastAsia="zh-CN" w:bidi="ar"/>
              </w:rPr>
            </w:pPr>
            <w:r>
              <w:rPr>
                <w:rFonts w:hint="eastAsia" w:ascii="仿宋" w:hAnsi="仿宋" w:eastAsia="仿宋" w:cs="仿宋"/>
                <w:i w:val="0"/>
                <w:iCs w:val="0"/>
                <w:color w:val="000000"/>
                <w:kern w:val="0"/>
                <w:sz w:val="32"/>
                <w:szCs w:val="32"/>
                <w:u w:val="none"/>
                <w:bdr w:val="none" w:color="auto" w:sz="0" w:space="0"/>
                <w:lang w:val="en-US" w:eastAsia="zh-CN" w:bidi="ar"/>
              </w:rPr>
              <w:t>教学楼小计：</w:t>
            </w:r>
          </w:p>
        </w:tc>
        <w:tc>
          <w:tcPr>
            <w:tcW w:w="86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84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590" w:type="dxa"/>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bl>
    <w:p>
      <w:pPr>
        <w:rPr>
          <w:rFonts w:hint="eastAsia" w:ascii="黑体" w:hAnsi="黑体" w:eastAsia="黑体" w:cs="黑体"/>
          <w:bCs/>
          <w:sz w:val="32"/>
          <w:szCs w:val="32"/>
        </w:rPr>
      </w:pPr>
    </w:p>
    <w:p>
      <w:pPr>
        <w:jc w:val="center"/>
        <w:rPr>
          <w:rFonts w:hint="eastAsia" w:ascii="黑体" w:hAnsi="黑体" w:eastAsia="黑体" w:cs="黑体"/>
          <w:bCs/>
          <w:sz w:val="32"/>
          <w:szCs w:val="32"/>
          <w:lang w:val="en-US" w:eastAsia="zh-CN"/>
        </w:rPr>
      </w:pPr>
    </w:p>
    <w:p>
      <w:pPr>
        <w:jc w:val="center"/>
        <w:rPr>
          <w:rFonts w:hint="eastAsia" w:ascii="黑体" w:hAnsi="黑体" w:eastAsia="黑体" w:cs="黑体"/>
          <w:bCs/>
          <w:sz w:val="32"/>
          <w:szCs w:val="32"/>
          <w:lang w:val="en-US" w:eastAsia="zh-CN"/>
        </w:rPr>
      </w:pPr>
    </w:p>
    <w:p>
      <w:pPr>
        <w:jc w:val="center"/>
        <w:rPr>
          <w:rFonts w:hint="eastAsia" w:ascii="黑体" w:hAnsi="黑体" w:eastAsia="黑体" w:cs="黑体"/>
          <w:bCs/>
          <w:sz w:val="32"/>
          <w:szCs w:val="32"/>
          <w:lang w:val="en-US" w:eastAsia="zh-CN"/>
        </w:rPr>
      </w:pPr>
    </w:p>
    <w:p>
      <w:pPr>
        <w:jc w:val="center"/>
        <w:rPr>
          <w:rFonts w:hint="eastAsia" w:ascii="黑体" w:hAnsi="黑体" w:eastAsia="黑体" w:cs="黑体"/>
          <w:bCs/>
          <w:sz w:val="32"/>
          <w:szCs w:val="32"/>
          <w:lang w:val="en-US" w:eastAsia="zh-CN"/>
        </w:rPr>
      </w:pPr>
    </w:p>
    <w:p>
      <w:pPr>
        <w:jc w:val="center"/>
        <w:rPr>
          <w:rFonts w:hint="eastAsia" w:ascii="黑体" w:hAnsi="黑体" w:eastAsia="黑体" w:cs="黑体"/>
          <w:bCs/>
          <w:sz w:val="32"/>
          <w:szCs w:val="32"/>
          <w:lang w:val="en-US" w:eastAsia="zh-CN"/>
        </w:rPr>
      </w:pPr>
    </w:p>
    <w:p>
      <w:pPr>
        <w:jc w:val="center"/>
        <w:rPr>
          <w:rFonts w:hint="eastAsia" w:ascii="黑体" w:hAnsi="黑体" w:eastAsia="黑体" w:cs="黑体"/>
          <w:bCs/>
          <w:sz w:val="32"/>
          <w:szCs w:val="32"/>
          <w:lang w:val="en-US" w:eastAsia="zh-CN"/>
        </w:rPr>
      </w:pPr>
    </w:p>
    <w:p>
      <w:pPr>
        <w:jc w:val="center"/>
        <w:rPr>
          <w:rFonts w:hint="eastAsia" w:ascii="黑体" w:hAnsi="黑体" w:eastAsia="黑体" w:cs="黑体"/>
          <w:bCs/>
          <w:sz w:val="32"/>
          <w:szCs w:val="32"/>
          <w:lang w:val="en-US" w:eastAsia="zh-CN"/>
        </w:rPr>
      </w:pPr>
    </w:p>
    <w:p>
      <w:pPr>
        <w:jc w:val="center"/>
        <w:rPr>
          <w:rFonts w:hint="eastAsia" w:ascii="黑体" w:hAnsi="黑体" w:eastAsia="黑体" w:cs="黑体"/>
          <w:bCs/>
          <w:sz w:val="32"/>
          <w:szCs w:val="32"/>
          <w:lang w:val="en-US" w:eastAsia="zh-CN"/>
        </w:rPr>
      </w:pPr>
    </w:p>
    <w:p>
      <w:pPr>
        <w:jc w:val="center"/>
        <w:rPr>
          <w:rFonts w:hint="eastAsia" w:ascii="黑体" w:hAnsi="黑体" w:eastAsia="黑体" w:cs="黑体"/>
          <w:bCs/>
          <w:sz w:val="32"/>
          <w:szCs w:val="32"/>
          <w:lang w:val="en-US" w:eastAsia="zh-CN"/>
        </w:rPr>
      </w:pPr>
    </w:p>
    <w:p>
      <w:pPr>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食堂</w:t>
      </w:r>
    </w:p>
    <w:tbl>
      <w:tblPr>
        <w:tblW w:w="15740" w:type="dxa"/>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89"/>
        <w:gridCol w:w="989"/>
        <w:gridCol w:w="1403"/>
        <w:gridCol w:w="2359"/>
        <w:gridCol w:w="2251"/>
        <w:gridCol w:w="990"/>
        <w:gridCol w:w="990"/>
        <w:gridCol w:w="2679"/>
        <w:gridCol w:w="1030"/>
        <w:gridCol w:w="1030"/>
        <w:gridCol w:w="10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After w:w="0" w:type="auto"/>
          <w:trHeight w:val="561" w:hRule="atLeast"/>
        </w:trPr>
        <w:tc>
          <w:tcPr>
            <w:tcW w:w="989"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区域</w:t>
            </w:r>
          </w:p>
        </w:tc>
        <w:tc>
          <w:tcPr>
            <w:tcW w:w="989"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序号</w:t>
            </w:r>
          </w:p>
        </w:tc>
        <w:tc>
          <w:tcPr>
            <w:tcW w:w="1403"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品名</w:t>
            </w:r>
          </w:p>
        </w:tc>
        <w:tc>
          <w:tcPr>
            <w:tcW w:w="2359"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图样</w:t>
            </w:r>
          </w:p>
        </w:tc>
        <w:tc>
          <w:tcPr>
            <w:tcW w:w="2251"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规格</w:t>
            </w:r>
          </w:p>
        </w:tc>
        <w:tc>
          <w:tcPr>
            <w:tcW w:w="990"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数量</w:t>
            </w:r>
          </w:p>
        </w:tc>
        <w:tc>
          <w:tcPr>
            <w:tcW w:w="990"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单位</w:t>
            </w:r>
          </w:p>
        </w:tc>
        <w:tc>
          <w:tcPr>
            <w:tcW w:w="2679"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eastAsia" w:ascii="仿宋" w:hAnsi="仿宋" w:eastAsia="仿宋" w:cs="仿宋"/>
                <w:b/>
                <w:bCs/>
                <w:i w:val="0"/>
                <w:iCs w:val="0"/>
                <w:color w:val="FFFFFF"/>
                <w:sz w:val="24"/>
                <w:szCs w:val="24"/>
                <w:u w:val="none"/>
              </w:rPr>
            </w:pPr>
            <w:r>
              <w:rPr>
                <w:rFonts w:hint="eastAsia" w:ascii="仿宋" w:hAnsi="仿宋" w:eastAsia="仿宋" w:cs="仿宋"/>
                <w:b/>
                <w:bCs/>
                <w:i w:val="0"/>
                <w:iCs w:val="0"/>
                <w:color w:val="FFFFFF"/>
                <w:kern w:val="0"/>
                <w:sz w:val="24"/>
                <w:szCs w:val="24"/>
                <w:u w:val="none"/>
                <w:bdr w:val="none" w:color="auto" w:sz="0" w:space="0"/>
                <w:lang w:val="en-US" w:eastAsia="zh-CN" w:bidi="ar"/>
              </w:rPr>
              <w:t>材质说明</w:t>
            </w:r>
          </w:p>
        </w:tc>
        <w:tc>
          <w:tcPr>
            <w:tcW w:w="1030"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default" w:ascii="仿宋" w:hAnsi="仿宋" w:eastAsia="仿宋" w:cs="仿宋"/>
                <w:b/>
                <w:bCs/>
                <w:i w:val="0"/>
                <w:iCs w:val="0"/>
                <w:color w:val="FFFFFF"/>
                <w:kern w:val="0"/>
                <w:sz w:val="24"/>
                <w:szCs w:val="24"/>
                <w:u w:val="none"/>
                <w:bdr w:val="none" w:color="auto" w:sz="0" w:space="0"/>
                <w:lang w:val="en-US" w:eastAsia="zh-CN" w:bidi="ar"/>
              </w:rPr>
            </w:pPr>
            <w:r>
              <w:rPr>
                <w:rFonts w:hint="eastAsia" w:ascii="仿宋" w:hAnsi="仿宋" w:eastAsia="仿宋" w:cs="仿宋"/>
                <w:b/>
                <w:bCs/>
                <w:i w:val="0"/>
                <w:iCs w:val="0"/>
                <w:color w:val="FFFFFF"/>
                <w:kern w:val="0"/>
                <w:sz w:val="24"/>
                <w:szCs w:val="24"/>
                <w:u w:val="none"/>
                <w:bdr w:val="none" w:color="auto" w:sz="0" w:space="0"/>
                <w:lang w:val="en-US" w:eastAsia="zh-CN" w:bidi="ar"/>
              </w:rPr>
              <w:t>应标参数</w:t>
            </w:r>
          </w:p>
        </w:tc>
        <w:tc>
          <w:tcPr>
            <w:tcW w:w="1030"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default" w:ascii="仿宋" w:hAnsi="仿宋" w:eastAsia="仿宋" w:cs="仿宋"/>
                <w:b/>
                <w:bCs/>
                <w:i w:val="0"/>
                <w:iCs w:val="0"/>
                <w:color w:val="FFFFFF"/>
                <w:kern w:val="0"/>
                <w:sz w:val="24"/>
                <w:szCs w:val="24"/>
                <w:u w:val="none"/>
                <w:bdr w:val="none" w:color="auto" w:sz="0" w:space="0"/>
                <w:lang w:val="en-US" w:eastAsia="zh-CN" w:bidi="ar"/>
              </w:rPr>
            </w:pPr>
            <w:r>
              <w:rPr>
                <w:rFonts w:hint="eastAsia" w:ascii="仿宋" w:hAnsi="仿宋" w:eastAsia="仿宋" w:cs="仿宋"/>
                <w:b/>
                <w:bCs/>
                <w:i w:val="0"/>
                <w:iCs w:val="0"/>
                <w:color w:val="FFFFFF"/>
                <w:kern w:val="0"/>
                <w:sz w:val="24"/>
                <w:szCs w:val="24"/>
                <w:u w:val="none"/>
                <w:bdr w:val="none" w:color="auto" w:sz="0" w:space="0"/>
                <w:lang w:val="en-US" w:eastAsia="zh-CN" w:bidi="ar"/>
              </w:rPr>
              <w:t>单价</w:t>
            </w:r>
          </w:p>
        </w:tc>
        <w:tc>
          <w:tcPr>
            <w:tcW w:w="1030" w:type="dxa"/>
            <w:tcBorders>
              <w:top w:val="nil"/>
              <w:left w:val="single" w:color="000000" w:sz="4" w:space="0"/>
              <w:bottom w:val="nil"/>
              <w:right w:val="single" w:color="000000" w:sz="4" w:space="0"/>
            </w:tcBorders>
            <w:shd w:val="clear" w:color="auto" w:fill="808080"/>
            <w:vAlign w:val="center"/>
          </w:tcPr>
          <w:p>
            <w:pPr>
              <w:keepNext w:val="0"/>
              <w:keepLines w:val="0"/>
              <w:widowControl/>
              <w:suppressLineNumbers w:val="0"/>
              <w:jc w:val="center"/>
              <w:textAlignment w:val="center"/>
              <w:rPr>
                <w:rFonts w:hint="default" w:ascii="仿宋" w:hAnsi="仿宋" w:eastAsia="仿宋" w:cs="仿宋"/>
                <w:b/>
                <w:bCs/>
                <w:i w:val="0"/>
                <w:iCs w:val="0"/>
                <w:color w:val="FFFFFF"/>
                <w:kern w:val="0"/>
                <w:sz w:val="24"/>
                <w:szCs w:val="24"/>
                <w:u w:val="none"/>
                <w:bdr w:val="none" w:color="auto" w:sz="0" w:space="0"/>
                <w:lang w:val="en-US" w:eastAsia="zh-CN" w:bidi="ar"/>
              </w:rPr>
            </w:pPr>
            <w:r>
              <w:rPr>
                <w:rFonts w:hint="eastAsia" w:ascii="仿宋" w:hAnsi="仿宋" w:eastAsia="仿宋" w:cs="仿宋"/>
                <w:b/>
                <w:bCs/>
                <w:i w:val="0"/>
                <w:iCs w:val="0"/>
                <w:color w:val="FFFFFF"/>
                <w:kern w:val="0"/>
                <w:sz w:val="24"/>
                <w:szCs w:val="24"/>
                <w:u w:val="none"/>
                <w:bdr w:val="none" w:color="auto" w:sz="0" w:space="0"/>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1" w:hRule="atLeast"/>
        </w:trPr>
        <w:tc>
          <w:tcPr>
            <w:tcW w:w="12650" w:type="dxa"/>
            <w:gridSpan w:val="8"/>
            <w:tcBorders>
              <w:top w:val="nil"/>
              <w:left w:val="nil"/>
              <w:bottom w:val="single" w:color="000000" w:sz="4" w:space="0"/>
              <w:right w:val="nil"/>
            </w:tcBorders>
            <w:shd w:val="clear" w:color="auto" w:fill="A6A6A6"/>
            <w:vAlign w:val="center"/>
          </w:tcPr>
          <w:p>
            <w:pPr>
              <w:jc w:val="center"/>
              <w:rPr>
                <w:rFonts w:hint="eastAsia" w:ascii="仿宋" w:hAnsi="仿宋" w:eastAsia="仿宋" w:cs="仿宋"/>
                <w:b/>
                <w:bCs/>
                <w:i w:val="0"/>
                <w:iCs w:val="0"/>
                <w:color w:val="000000"/>
                <w:sz w:val="22"/>
                <w:szCs w:val="22"/>
                <w:u w:val="none"/>
              </w:rPr>
            </w:pPr>
          </w:p>
        </w:tc>
        <w:tc>
          <w:tcPr>
            <w:tcW w:w="1030" w:type="dxa"/>
            <w:tcBorders>
              <w:top w:val="nil"/>
              <w:left w:val="nil"/>
              <w:bottom w:val="single" w:color="000000" w:sz="4" w:space="0"/>
              <w:right w:val="nil"/>
            </w:tcBorders>
            <w:shd w:val="clear" w:color="auto" w:fill="A6A6A6"/>
            <w:vAlign w:val="center"/>
          </w:tcPr>
          <w:p>
            <w:pPr>
              <w:jc w:val="center"/>
              <w:rPr>
                <w:rFonts w:hint="eastAsia" w:ascii="仿宋" w:hAnsi="仿宋" w:eastAsia="仿宋" w:cs="仿宋"/>
                <w:b/>
                <w:bCs/>
                <w:i w:val="0"/>
                <w:iCs w:val="0"/>
                <w:color w:val="000000"/>
                <w:sz w:val="22"/>
                <w:szCs w:val="22"/>
                <w:u w:val="none"/>
              </w:rPr>
            </w:pPr>
          </w:p>
        </w:tc>
        <w:tc>
          <w:tcPr>
            <w:tcW w:w="1030" w:type="dxa"/>
            <w:tcBorders>
              <w:top w:val="nil"/>
              <w:left w:val="nil"/>
              <w:bottom w:val="single" w:color="000000" w:sz="4" w:space="0"/>
              <w:right w:val="nil"/>
            </w:tcBorders>
            <w:shd w:val="clear" w:color="auto" w:fill="A6A6A6"/>
            <w:vAlign w:val="center"/>
          </w:tcPr>
          <w:p>
            <w:pPr>
              <w:jc w:val="center"/>
              <w:rPr>
                <w:rFonts w:hint="eastAsia" w:ascii="仿宋" w:hAnsi="仿宋" w:eastAsia="仿宋" w:cs="仿宋"/>
                <w:b/>
                <w:bCs/>
                <w:i w:val="0"/>
                <w:iCs w:val="0"/>
                <w:color w:val="000000"/>
                <w:sz w:val="22"/>
                <w:szCs w:val="22"/>
                <w:u w:val="none"/>
              </w:rPr>
            </w:pPr>
          </w:p>
        </w:tc>
        <w:tc>
          <w:tcPr>
            <w:tcW w:w="1030" w:type="dxa"/>
            <w:tcBorders>
              <w:top w:val="nil"/>
              <w:left w:val="nil"/>
              <w:bottom w:val="single" w:color="000000" w:sz="4" w:space="0"/>
              <w:right w:val="nil"/>
            </w:tcBorders>
            <w:shd w:val="clear" w:color="auto" w:fill="A6A6A6"/>
            <w:vAlign w:val="center"/>
          </w:tcPr>
          <w:p>
            <w:pPr>
              <w:jc w:val="center"/>
              <w:rPr>
                <w:rFonts w:hint="eastAsia" w:ascii="仿宋" w:hAnsi="仿宋" w:eastAsia="仿宋" w:cs="仿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80" w:hRule="atLeast"/>
        </w:trPr>
        <w:tc>
          <w:tcPr>
            <w:tcW w:w="989"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t>一层</w:t>
            </w:r>
            <w:r>
              <w:rPr>
                <w:rFonts w:hint="eastAsia" w:ascii="仿宋" w:hAnsi="仿宋" w:eastAsia="仿宋" w:cs="仿宋"/>
                <w:b/>
                <w:bCs/>
                <w:i w:val="0"/>
                <w:iCs w:val="0"/>
                <w:color w:val="000000"/>
                <w:kern w:val="0"/>
                <w:sz w:val="22"/>
                <w:szCs w:val="22"/>
                <w:u w:val="none"/>
                <w:bdr w:val="none" w:color="auto" w:sz="0" w:space="0"/>
                <w:lang w:val="en-US" w:eastAsia="zh-CN" w:bidi="ar"/>
              </w:rPr>
              <w:br w:type="textWrapping"/>
            </w:r>
            <w:r>
              <w:rPr>
                <w:rFonts w:hint="eastAsia" w:ascii="仿宋" w:hAnsi="仿宋" w:eastAsia="仿宋" w:cs="仿宋"/>
                <w:b/>
                <w:bCs/>
                <w:i w:val="0"/>
                <w:iCs w:val="0"/>
                <w:color w:val="000000"/>
                <w:kern w:val="0"/>
                <w:sz w:val="22"/>
                <w:szCs w:val="22"/>
                <w:u w:val="none"/>
                <w:bdr w:val="none" w:color="auto" w:sz="0" w:space="0"/>
                <w:lang w:val="en-US" w:eastAsia="zh-CN" w:bidi="ar"/>
              </w:rPr>
              <w:t>公共餐厅</w:t>
            </w:r>
          </w:p>
        </w:tc>
        <w:tc>
          <w:tcPr>
            <w:tcW w:w="98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14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餐桌</w:t>
            </w:r>
          </w:p>
        </w:tc>
        <w:tc>
          <w:tcPr>
            <w:tcW w:w="23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452120</wp:posOffset>
                  </wp:positionV>
                  <wp:extent cx="1154430" cy="938530"/>
                  <wp:effectExtent l="0" t="0" r="1270" b="1270"/>
                  <wp:wrapNone/>
                  <wp:docPr id="272" name="图片_19"/>
                  <wp:cNvGraphicFramePr/>
                  <a:graphic xmlns:a="http://schemas.openxmlformats.org/drawingml/2006/main">
                    <a:graphicData uri="http://schemas.openxmlformats.org/drawingml/2006/picture">
                      <pic:pic xmlns:pic="http://schemas.openxmlformats.org/drawingml/2006/picture">
                        <pic:nvPicPr>
                          <pic:cNvPr id="272" name="图片_19"/>
                          <pic:cNvPicPr/>
                        </pic:nvPicPr>
                        <pic:blipFill>
                          <a:blip r:embed="rId36"/>
                          <a:stretch>
                            <a:fillRect/>
                          </a:stretch>
                        </pic:blipFill>
                        <pic:spPr>
                          <a:xfrm>
                            <a:off x="0" y="0"/>
                            <a:ext cx="1154430" cy="938530"/>
                          </a:xfrm>
                          <a:prstGeom prst="rect">
                            <a:avLst/>
                          </a:prstGeom>
                          <a:noFill/>
                          <a:ln>
                            <a:noFill/>
                          </a:ln>
                        </pic:spPr>
                      </pic:pic>
                    </a:graphicData>
                  </a:graphic>
                </wp:anchor>
              </w:drawing>
            </w:r>
          </w:p>
        </w:tc>
        <w:tc>
          <w:tcPr>
            <w:tcW w:w="22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1200W*600D*750H</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54</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267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全部板材厚度为加厚至36mm泡花板，家具板材经烘干、杀菌、杀虫处理，保证材料不会变形生虫，不带有毒气体，达到国家标准;板材露边处采用同色PVC封边,保证受热受冻不会脱胶开裂。50*50*1.2MM钢管脚，经静电喷涂</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61"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8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餐椅</w:t>
            </w:r>
          </w:p>
        </w:tc>
        <w:tc>
          <w:tcPr>
            <w:tcW w:w="23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111760</wp:posOffset>
                  </wp:positionV>
                  <wp:extent cx="1444625" cy="1447800"/>
                  <wp:effectExtent l="0" t="0" r="3175" b="0"/>
                  <wp:wrapNone/>
                  <wp:docPr id="268" name="图片_18"/>
                  <wp:cNvGraphicFramePr/>
                  <a:graphic xmlns:a="http://schemas.openxmlformats.org/drawingml/2006/main">
                    <a:graphicData uri="http://schemas.openxmlformats.org/drawingml/2006/picture">
                      <pic:pic xmlns:pic="http://schemas.openxmlformats.org/drawingml/2006/picture">
                        <pic:nvPicPr>
                          <pic:cNvPr id="268" name="图片_18"/>
                          <pic:cNvPicPr/>
                        </pic:nvPicPr>
                        <pic:blipFill>
                          <a:blip r:embed="rId37"/>
                          <a:stretch>
                            <a:fillRect/>
                          </a:stretch>
                        </pic:blipFill>
                        <pic:spPr>
                          <a:xfrm>
                            <a:off x="0" y="0"/>
                            <a:ext cx="1444625" cy="1447800"/>
                          </a:xfrm>
                          <a:prstGeom prst="rect">
                            <a:avLst/>
                          </a:prstGeom>
                          <a:noFill/>
                          <a:ln>
                            <a:noFill/>
                          </a:ln>
                        </pic:spPr>
                      </pic:pic>
                    </a:graphicData>
                  </a:graphic>
                </wp:anchor>
              </w:drawing>
            </w:r>
          </w:p>
        </w:tc>
        <w:tc>
          <w:tcPr>
            <w:tcW w:w="22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460W*430*820H</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216</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267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采用全新PP加纤，符合国际环保标准，胶背厚7mm，加厚座板，实心圆柱脚3-3.5cm,带防滑脚垫一体注塑成型，可承重120KG，拉力108KG。</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40" w:hRule="atLeast"/>
        </w:trPr>
        <w:tc>
          <w:tcPr>
            <w:tcW w:w="989"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center"/>
              <w:rPr>
                <w:rFonts w:hint="eastAsia" w:ascii="仿宋" w:hAnsi="仿宋" w:eastAsia="仿宋" w:cs="仿宋"/>
                <w:b/>
                <w:bCs/>
                <w:i w:val="0"/>
                <w:iCs w:val="0"/>
                <w:color w:val="000000"/>
                <w:sz w:val="22"/>
                <w:szCs w:val="22"/>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center"/>
              <w:rPr>
                <w:rFonts w:hint="eastAsia" w:ascii="仿宋" w:hAnsi="仿宋" w:eastAsia="仿宋" w:cs="仿宋"/>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jc w:val="center"/>
              <w:rPr>
                <w:rFonts w:hint="eastAsia" w:ascii="仿宋" w:hAnsi="仿宋" w:eastAsia="仿宋" w:cs="仿宋"/>
                <w:i w:val="0"/>
                <w:iCs w:val="0"/>
                <w:color w:val="000000"/>
                <w:sz w:val="22"/>
                <w:szCs w:val="22"/>
                <w:u w:val="none"/>
              </w:rPr>
            </w:pPr>
          </w:p>
        </w:tc>
        <w:tc>
          <w:tcPr>
            <w:tcW w:w="2359"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jc w:val="center"/>
              <w:rPr>
                <w:rFonts w:hint="eastAsia" w:ascii="仿宋" w:hAnsi="仿宋" w:eastAsia="仿宋" w:cs="仿宋"/>
                <w:i w:val="0"/>
                <w:iCs w:val="0"/>
                <w:color w:val="000000"/>
                <w:sz w:val="22"/>
                <w:szCs w:val="22"/>
                <w:u w:val="none"/>
              </w:rPr>
            </w:pPr>
          </w:p>
        </w:tc>
        <w:tc>
          <w:tcPr>
            <w:tcW w:w="2251"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center"/>
              <w:rPr>
                <w:rFonts w:hint="eastAsia" w:ascii="仿宋" w:hAnsi="仿宋" w:eastAsia="仿宋" w:cs="仿宋"/>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jc w:val="center"/>
              <w:rPr>
                <w:rFonts w:hint="eastAsia" w:ascii="仿宋" w:hAnsi="仿宋" w:eastAsia="仿宋" w:cs="仿宋"/>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jc w:val="center"/>
              <w:rPr>
                <w:rFonts w:hint="eastAsia" w:ascii="仿宋" w:hAnsi="仿宋" w:eastAsia="仿宋" w:cs="仿宋"/>
                <w:i w:val="0"/>
                <w:iCs w:val="0"/>
                <w:color w:val="000000"/>
                <w:sz w:val="22"/>
                <w:szCs w:val="22"/>
                <w:u w:val="none"/>
              </w:rPr>
            </w:pPr>
          </w:p>
        </w:tc>
        <w:tc>
          <w:tcPr>
            <w:tcW w:w="2679"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left"/>
              <w:rPr>
                <w:rFonts w:hint="eastAsia" w:ascii="仿宋" w:hAnsi="仿宋" w:eastAsia="仿宋" w:cs="仿宋"/>
                <w:i w:val="0"/>
                <w:iCs w:val="0"/>
                <w:color w:val="000000"/>
                <w:sz w:val="18"/>
                <w:szCs w:val="18"/>
                <w:u w:val="none"/>
              </w:rPr>
            </w:pPr>
          </w:p>
        </w:tc>
        <w:tc>
          <w:tcPr>
            <w:tcW w:w="1030"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left"/>
              <w:rPr>
                <w:rFonts w:hint="eastAsia" w:ascii="仿宋" w:hAnsi="仿宋" w:eastAsia="仿宋" w:cs="仿宋"/>
                <w:i w:val="0"/>
                <w:iCs w:val="0"/>
                <w:color w:val="000000"/>
                <w:sz w:val="18"/>
                <w:szCs w:val="18"/>
                <w:u w:val="none"/>
              </w:rPr>
            </w:pPr>
          </w:p>
        </w:tc>
        <w:tc>
          <w:tcPr>
            <w:tcW w:w="1030"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left"/>
              <w:rPr>
                <w:rFonts w:hint="eastAsia" w:ascii="仿宋" w:hAnsi="仿宋" w:eastAsia="仿宋" w:cs="仿宋"/>
                <w:i w:val="0"/>
                <w:iCs w:val="0"/>
                <w:color w:val="000000"/>
                <w:sz w:val="18"/>
                <w:szCs w:val="18"/>
                <w:u w:val="none"/>
              </w:rPr>
            </w:pPr>
          </w:p>
        </w:tc>
        <w:tc>
          <w:tcPr>
            <w:tcW w:w="1030"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left"/>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80" w:hRule="atLeast"/>
        </w:trPr>
        <w:tc>
          <w:tcPr>
            <w:tcW w:w="989"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t>二层</w:t>
            </w:r>
            <w:r>
              <w:rPr>
                <w:rFonts w:hint="eastAsia" w:ascii="仿宋" w:hAnsi="仿宋" w:eastAsia="仿宋" w:cs="仿宋"/>
                <w:b/>
                <w:bCs/>
                <w:i w:val="0"/>
                <w:iCs w:val="0"/>
                <w:color w:val="000000"/>
                <w:kern w:val="0"/>
                <w:sz w:val="22"/>
                <w:szCs w:val="22"/>
                <w:u w:val="none"/>
                <w:bdr w:val="none" w:color="auto" w:sz="0" w:space="0"/>
                <w:lang w:val="en-US" w:eastAsia="zh-CN" w:bidi="ar"/>
              </w:rPr>
              <w:br w:type="textWrapping"/>
            </w:r>
            <w:r>
              <w:rPr>
                <w:rFonts w:hint="eastAsia" w:ascii="仿宋" w:hAnsi="仿宋" w:eastAsia="仿宋" w:cs="仿宋"/>
                <w:b/>
                <w:bCs/>
                <w:i w:val="0"/>
                <w:iCs w:val="0"/>
                <w:color w:val="000000"/>
                <w:kern w:val="0"/>
                <w:sz w:val="22"/>
                <w:szCs w:val="22"/>
                <w:u w:val="none"/>
                <w:bdr w:val="none" w:color="auto" w:sz="0" w:space="0"/>
                <w:lang w:val="en-US" w:eastAsia="zh-CN" w:bidi="ar"/>
              </w:rPr>
              <w:t>公共餐厅</w:t>
            </w:r>
          </w:p>
        </w:tc>
        <w:tc>
          <w:tcPr>
            <w:tcW w:w="98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14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餐桌</w:t>
            </w:r>
          </w:p>
        </w:tc>
        <w:tc>
          <w:tcPr>
            <w:tcW w:w="23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239395</wp:posOffset>
                  </wp:positionV>
                  <wp:extent cx="1320800" cy="1073785"/>
                  <wp:effectExtent l="0" t="0" r="0" b="5715"/>
                  <wp:wrapNone/>
                  <wp:docPr id="269" name="图片_2"/>
                  <wp:cNvGraphicFramePr/>
                  <a:graphic xmlns:a="http://schemas.openxmlformats.org/drawingml/2006/main">
                    <a:graphicData uri="http://schemas.openxmlformats.org/drawingml/2006/picture">
                      <pic:pic xmlns:pic="http://schemas.openxmlformats.org/drawingml/2006/picture">
                        <pic:nvPicPr>
                          <pic:cNvPr id="269" name="图片_2"/>
                          <pic:cNvPicPr/>
                        </pic:nvPicPr>
                        <pic:blipFill>
                          <a:blip r:embed="rId38"/>
                          <a:stretch>
                            <a:fillRect/>
                          </a:stretch>
                        </pic:blipFill>
                        <pic:spPr>
                          <a:xfrm>
                            <a:off x="0" y="0"/>
                            <a:ext cx="1320800" cy="1073785"/>
                          </a:xfrm>
                          <a:prstGeom prst="rect">
                            <a:avLst/>
                          </a:prstGeom>
                          <a:noFill/>
                          <a:ln>
                            <a:noFill/>
                          </a:ln>
                        </pic:spPr>
                      </pic:pic>
                    </a:graphicData>
                  </a:graphic>
                </wp:anchor>
              </w:drawing>
            </w:r>
          </w:p>
        </w:tc>
        <w:tc>
          <w:tcPr>
            <w:tcW w:w="22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1200W*600D*750H</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54</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267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全部板材厚度为加厚至36mm泡花板，家具板材经烘干、杀菌、杀虫处理，保证材料不会变形生虫，不带有毒气体，达到国家标准;板材露边处采用同色PVC封边,保证受热受冻不会脱胶开裂。50*50*1.2MM钢管脚，经静电喷涂</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61"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8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餐椅</w:t>
            </w:r>
          </w:p>
        </w:tc>
        <w:tc>
          <w:tcPr>
            <w:tcW w:w="23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165735</wp:posOffset>
                  </wp:positionV>
                  <wp:extent cx="1337310" cy="1340485"/>
                  <wp:effectExtent l="0" t="0" r="8890" b="5715"/>
                  <wp:wrapNone/>
                  <wp:docPr id="267" name="图片_1"/>
                  <wp:cNvGraphicFramePr/>
                  <a:graphic xmlns:a="http://schemas.openxmlformats.org/drawingml/2006/main">
                    <a:graphicData uri="http://schemas.openxmlformats.org/drawingml/2006/picture">
                      <pic:pic xmlns:pic="http://schemas.openxmlformats.org/drawingml/2006/picture">
                        <pic:nvPicPr>
                          <pic:cNvPr id="267" name="图片_1"/>
                          <pic:cNvPicPr/>
                        </pic:nvPicPr>
                        <pic:blipFill>
                          <a:blip r:embed="rId39"/>
                          <a:stretch>
                            <a:fillRect/>
                          </a:stretch>
                        </pic:blipFill>
                        <pic:spPr>
                          <a:xfrm>
                            <a:off x="0" y="0"/>
                            <a:ext cx="1337310" cy="1340485"/>
                          </a:xfrm>
                          <a:prstGeom prst="rect">
                            <a:avLst/>
                          </a:prstGeom>
                          <a:noFill/>
                          <a:ln>
                            <a:noFill/>
                          </a:ln>
                        </pic:spPr>
                      </pic:pic>
                    </a:graphicData>
                  </a:graphic>
                </wp:anchor>
              </w:drawing>
            </w:r>
          </w:p>
        </w:tc>
        <w:tc>
          <w:tcPr>
            <w:tcW w:w="22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460W*430*820H</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216</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267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采用全新PP加纤，符合国际环保标准，胶背厚7mm，加厚座板，实心圆柱脚3-3.5cm,带防滑脚垫一体注塑成型，可承重120KG，拉力108KG。</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340" w:hRule="atLeast"/>
        </w:trPr>
        <w:tc>
          <w:tcPr>
            <w:tcW w:w="989"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center"/>
              <w:rPr>
                <w:rFonts w:hint="eastAsia" w:ascii="仿宋" w:hAnsi="仿宋" w:eastAsia="仿宋" w:cs="仿宋"/>
                <w:b/>
                <w:bCs/>
                <w:i w:val="0"/>
                <w:iCs w:val="0"/>
                <w:color w:val="000000"/>
                <w:sz w:val="22"/>
                <w:szCs w:val="22"/>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center"/>
              <w:rPr>
                <w:rFonts w:hint="eastAsia" w:ascii="仿宋" w:hAnsi="仿宋" w:eastAsia="仿宋" w:cs="仿宋"/>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jc w:val="center"/>
              <w:rPr>
                <w:rFonts w:hint="eastAsia" w:ascii="仿宋" w:hAnsi="仿宋" w:eastAsia="仿宋" w:cs="仿宋"/>
                <w:i w:val="0"/>
                <w:iCs w:val="0"/>
                <w:color w:val="000000"/>
                <w:sz w:val="22"/>
                <w:szCs w:val="22"/>
                <w:u w:val="none"/>
              </w:rPr>
            </w:pPr>
          </w:p>
        </w:tc>
        <w:tc>
          <w:tcPr>
            <w:tcW w:w="2359"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jc w:val="center"/>
              <w:rPr>
                <w:rFonts w:hint="eastAsia" w:ascii="仿宋" w:hAnsi="仿宋" w:eastAsia="仿宋" w:cs="仿宋"/>
                <w:i w:val="0"/>
                <w:iCs w:val="0"/>
                <w:color w:val="000000"/>
                <w:sz w:val="22"/>
                <w:szCs w:val="22"/>
                <w:u w:val="none"/>
              </w:rPr>
            </w:pPr>
          </w:p>
        </w:tc>
        <w:tc>
          <w:tcPr>
            <w:tcW w:w="2251"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center"/>
              <w:rPr>
                <w:rFonts w:hint="eastAsia" w:ascii="仿宋" w:hAnsi="仿宋" w:eastAsia="仿宋" w:cs="仿宋"/>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jc w:val="center"/>
              <w:rPr>
                <w:rFonts w:hint="eastAsia" w:ascii="仿宋" w:hAnsi="仿宋" w:eastAsia="仿宋" w:cs="仿宋"/>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BFBFBF"/>
            <w:noWrap/>
            <w:vAlign w:val="center"/>
          </w:tcPr>
          <w:p>
            <w:pPr>
              <w:jc w:val="center"/>
              <w:rPr>
                <w:rFonts w:hint="eastAsia" w:ascii="仿宋" w:hAnsi="仿宋" w:eastAsia="仿宋" w:cs="仿宋"/>
                <w:i w:val="0"/>
                <w:iCs w:val="0"/>
                <w:color w:val="000000"/>
                <w:sz w:val="22"/>
                <w:szCs w:val="22"/>
                <w:u w:val="none"/>
              </w:rPr>
            </w:pPr>
          </w:p>
        </w:tc>
        <w:tc>
          <w:tcPr>
            <w:tcW w:w="2679"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left"/>
              <w:rPr>
                <w:rFonts w:hint="eastAsia" w:ascii="仿宋" w:hAnsi="仿宋" w:eastAsia="仿宋" w:cs="仿宋"/>
                <w:i w:val="0"/>
                <w:iCs w:val="0"/>
                <w:color w:val="000000"/>
                <w:sz w:val="18"/>
                <w:szCs w:val="18"/>
                <w:u w:val="none"/>
              </w:rPr>
            </w:pPr>
          </w:p>
        </w:tc>
        <w:tc>
          <w:tcPr>
            <w:tcW w:w="1030"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left"/>
              <w:rPr>
                <w:rFonts w:hint="eastAsia" w:ascii="仿宋" w:hAnsi="仿宋" w:eastAsia="仿宋" w:cs="仿宋"/>
                <w:i w:val="0"/>
                <w:iCs w:val="0"/>
                <w:color w:val="000000"/>
                <w:sz w:val="18"/>
                <w:szCs w:val="18"/>
                <w:u w:val="none"/>
              </w:rPr>
            </w:pPr>
          </w:p>
        </w:tc>
        <w:tc>
          <w:tcPr>
            <w:tcW w:w="1030"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left"/>
              <w:rPr>
                <w:rFonts w:hint="eastAsia" w:ascii="仿宋" w:hAnsi="仿宋" w:eastAsia="仿宋" w:cs="仿宋"/>
                <w:i w:val="0"/>
                <w:iCs w:val="0"/>
                <w:color w:val="000000"/>
                <w:sz w:val="18"/>
                <w:szCs w:val="18"/>
                <w:u w:val="none"/>
              </w:rPr>
            </w:pPr>
          </w:p>
        </w:tc>
        <w:tc>
          <w:tcPr>
            <w:tcW w:w="1030" w:type="dxa"/>
            <w:tcBorders>
              <w:top w:val="single" w:color="000000" w:sz="4" w:space="0"/>
              <w:left w:val="single" w:color="000000" w:sz="4" w:space="0"/>
              <w:bottom w:val="single" w:color="000000" w:sz="4" w:space="0"/>
              <w:right w:val="single" w:color="000000" w:sz="4" w:space="0"/>
            </w:tcBorders>
            <w:shd w:val="clear" w:color="auto" w:fill="BFBFBF"/>
            <w:vAlign w:val="center"/>
          </w:tcPr>
          <w:p>
            <w:pPr>
              <w:jc w:val="left"/>
              <w:rPr>
                <w:rFonts w:hint="eastAsia" w:ascii="仿宋" w:hAnsi="仿宋" w:eastAsia="仿宋" w:cs="仿宋"/>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060" w:hRule="atLeast"/>
        </w:trPr>
        <w:tc>
          <w:tcPr>
            <w:tcW w:w="989" w:type="dxa"/>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t>三层</w:t>
            </w:r>
            <w:r>
              <w:rPr>
                <w:rFonts w:hint="eastAsia" w:ascii="仿宋" w:hAnsi="仿宋" w:eastAsia="仿宋" w:cs="仿宋"/>
                <w:b/>
                <w:bCs/>
                <w:i w:val="0"/>
                <w:iCs w:val="0"/>
                <w:color w:val="000000"/>
                <w:kern w:val="0"/>
                <w:sz w:val="22"/>
                <w:szCs w:val="22"/>
                <w:u w:val="none"/>
                <w:bdr w:val="none" w:color="auto" w:sz="0" w:space="0"/>
                <w:lang w:val="en-US" w:eastAsia="zh-CN" w:bidi="ar"/>
              </w:rPr>
              <w:br w:type="textWrapping"/>
            </w:r>
            <w:r>
              <w:rPr>
                <w:rFonts w:hint="eastAsia" w:ascii="仿宋" w:hAnsi="仿宋" w:eastAsia="仿宋" w:cs="仿宋"/>
                <w:b/>
                <w:bCs/>
                <w:i w:val="0"/>
                <w:iCs w:val="0"/>
                <w:color w:val="000000"/>
                <w:kern w:val="0"/>
                <w:sz w:val="22"/>
                <w:szCs w:val="22"/>
                <w:u w:val="none"/>
                <w:bdr w:val="none" w:color="auto" w:sz="0" w:space="0"/>
                <w:lang w:val="en-US" w:eastAsia="zh-CN" w:bidi="ar"/>
              </w:rPr>
              <w:t>大包厢</w:t>
            </w:r>
          </w:p>
        </w:tc>
        <w:tc>
          <w:tcPr>
            <w:tcW w:w="98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14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电动餐桌</w:t>
            </w:r>
          </w:p>
        </w:tc>
        <w:tc>
          <w:tcPr>
            <w:tcW w:w="23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97155</wp:posOffset>
                  </wp:positionV>
                  <wp:extent cx="1016000" cy="1323975"/>
                  <wp:effectExtent l="0" t="0" r="0" b="9525"/>
                  <wp:wrapNone/>
                  <wp:docPr id="270" name="图片_6"/>
                  <wp:cNvGraphicFramePr/>
                  <a:graphic xmlns:a="http://schemas.openxmlformats.org/drawingml/2006/main">
                    <a:graphicData uri="http://schemas.openxmlformats.org/drawingml/2006/picture">
                      <pic:pic xmlns:pic="http://schemas.openxmlformats.org/drawingml/2006/picture">
                        <pic:nvPicPr>
                          <pic:cNvPr id="270" name="图片_6"/>
                          <pic:cNvPicPr/>
                        </pic:nvPicPr>
                        <pic:blipFill>
                          <a:blip r:embed="rId40"/>
                          <a:stretch>
                            <a:fillRect/>
                          </a:stretch>
                        </pic:blipFill>
                        <pic:spPr>
                          <a:xfrm>
                            <a:off x="0" y="0"/>
                            <a:ext cx="1016000" cy="1323975"/>
                          </a:xfrm>
                          <a:prstGeom prst="rect">
                            <a:avLst/>
                          </a:prstGeom>
                          <a:noFill/>
                          <a:ln>
                            <a:noFill/>
                          </a:ln>
                        </pic:spPr>
                      </pic:pic>
                    </a:graphicData>
                  </a:graphic>
                </wp:anchor>
              </w:drawing>
            </w:r>
          </w:p>
        </w:tc>
        <w:tc>
          <w:tcPr>
            <w:tcW w:w="2251"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2600*750H</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267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1、基材：实木外框架，台面岩板 2、面漆：采用“大宝”牌或同等质量的面漆，经5底3面油漆喷涂、打、流平性好,附着力强、透明度高、耐磨性好,色泽柔和,手感舒适； 3、五金配件，采用“海福乐”牌或同等质量的五金配件,三合一连接 、优件 4、优质制动电机和涡轮装置。餐桌转盘转速为1转/4分钟；电池充电循环寿命不小于600次；桌频不失真输出功率大于</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61" w:hRule="atLeast"/>
        </w:trPr>
        <w:tc>
          <w:tcPr>
            <w:tcW w:w="989"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8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餐椅</w:t>
            </w:r>
          </w:p>
        </w:tc>
        <w:tc>
          <w:tcPr>
            <w:tcW w:w="23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22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标准</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16</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把</w:t>
            </w:r>
          </w:p>
        </w:tc>
        <w:tc>
          <w:tcPr>
            <w:tcW w:w="267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表面经“五底三面”油漆工艺处理，面漆、底漆均用环保亚光聚脂漆，色泽美观、光滑耐磨不变色，手感好，符合力学和人体工程学原理，舒适耐用；已杀菌、脱脂、橡木框架。</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661" w:hRule="atLeast"/>
        </w:trPr>
        <w:tc>
          <w:tcPr>
            <w:tcW w:w="989"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8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w:t>
            </w:r>
          </w:p>
        </w:tc>
        <w:tc>
          <w:tcPr>
            <w:tcW w:w="14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餐边柜</w:t>
            </w:r>
          </w:p>
        </w:tc>
        <w:tc>
          <w:tcPr>
            <w:tcW w:w="2359"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189230</wp:posOffset>
                  </wp:positionV>
                  <wp:extent cx="895985" cy="1096010"/>
                  <wp:effectExtent l="0" t="0" r="5715" b="8890"/>
                  <wp:wrapNone/>
                  <wp:docPr id="271" name="图片_3"/>
                  <wp:cNvGraphicFramePr/>
                  <a:graphic xmlns:a="http://schemas.openxmlformats.org/drawingml/2006/main">
                    <a:graphicData uri="http://schemas.openxmlformats.org/drawingml/2006/picture">
                      <pic:pic xmlns:pic="http://schemas.openxmlformats.org/drawingml/2006/picture">
                        <pic:nvPicPr>
                          <pic:cNvPr id="271" name="图片_3"/>
                          <pic:cNvPicPr/>
                        </pic:nvPicPr>
                        <pic:blipFill>
                          <a:blip r:embed="rId41"/>
                          <a:stretch>
                            <a:fillRect/>
                          </a:stretch>
                        </pic:blipFill>
                        <pic:spPr>
                          <a:xfrm>
                            <a:off x="0" y="0"/>
                            <a:ext cx="895985" cy="1096010"/>
                          </a:xfrm>
                          <a:prstGeom prst="rect">
                            <a:avLst/>
                          </a:prstGeom>
                          <a:noFill/>
                          <a:ln>
                            <a:noFill/>
                          </a:ln>
                        </pic:spPr>
                      </pic:pic>
                    </a:graphicData>
                  </a:graphic>
                </wp:anchor>
              </w:drawing>
            </w:r>
          </w:p>
        </w:tc>
        <w:tc>
          <w:tcPr>
            <w:tcW w:w="22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1200*400*800</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组</w:t>
            </w:r>
          </w:p>
        </w:tc>
        <w:tc>
          <w:tcPr>
            <w:tcW w:w="267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表面经“五底三面”油漆工艺处理，面漆、底漆均用环保亚光聚脂漆，色泽美观、光滑耐磨不变色，手感好，符合力学和人体工程学原理，舒适耐用；已杀菌、脱脂、橡木框架。</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none" w:color="auto" w:sz="0" w:space="0"/>
                <w:lang w:val="en-US" w:eastAsia="zh-CN" w:bidi="ar"/>
              </w:rPr>
              <w:t>三层小包厢</w:t>
            </w:r>
          </w:p>
        </w:tc>
        <w:tc>
          <w:tcPr>
            <w:tcW w:w="98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w:t>
            </w:r>
          </w:p>
        </w:tc>
        <w:tc>
          <w:tcPr>
            <w:tcW w:w="14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餐桌</w:t>
            </w:r>
          </w:p>
        </w:tc>
        <w:tc>
          <w:tcPr>
            <w:tcW w:w="23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351155</wp:posOffset>
                  </wp:positionV>
                  <wp:extent cx="1408430" cy="1049655"/>
                  <wp:effectExtent l="0" t="0" r="1270" b="4445"/>
                  <wp:wrapNone/>
                  <wp:docPr id="273" name="图片_4"/>
                  <wp:cNvGraphicFramePr/>
                  <a:graphic xmlns:a="http://schemas.openxmlformats.org/drawingml/2006/main">
                    <a:graphicData uri="http://schemas.openxmlformats.org/drawingml/2006/picture">
                      <pic:pic xmlns:pic="http://schemas.openxmlformats.org/drawingml/2006/picture">
                        <pic:nvPicPr>
                          <pic:cNvPr id="273" name="图片_4"/>
                          <pic:cNvPicPr/>
                        </pic:nvPicPr>
                        <pic:blipFill>
                          <a:blip r:embed="rId42"/>
                          <a:stretch>
                            <a:fillRect/>
                          </a:stretch>
                        </pic:blipFill>
                        <pic:spPr>
                          <a:xfrm>
                            <a:off x="0" y="0"/>
                            <a:ext cx="1408430" cy="1049655"/>
                          </a:xfrm>
                          <a:prstGeom prst="rect">
                            <a:avLst/>
                          </a:prstGeom>
                          <a:noFill/>
                          <a:ln>
                            <a:noFill/>
                          </a:ln>
                        </pic:spPr>
                      </pic:pic>
                    </a:graphicData>
                  </a:graphic>
                </wp:anchor>
              </w:drawing>
            </w:r>
          </w:p>
        </w:tc>
        <w:tc>
          <w:tcPr>
            <w:tcW w:w="22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1800*750H</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张</w:t>
            </w:r>
          </w:p>
        </w:tc>
        <w:tc>
          <w:tcPr>
            <w:tcW w:w="267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1、基材：实木外框架，台面岩板 2、面漆：采用“大宝”牌或同等质量的面漆，经5底3面油漆喷涂、打、流平性好,附着力强、透明度高、耐磨性好,色泽柔和,手感舒适； 3、五金配件，采用“海福乐”牌或同等质量的五金配件,三合一连接 、优件 4、优质制动电机和涡轮装置。餐桌转盘转速为1转/4分钟；电池充电循环寿命不小于600次；桌频不失真输出功率大于</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8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w:t>
            </w:r>
          </w:p>
        </w:tc>
        <w:tc>
          <w:tcPr>
            <w:tcW w:w="14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餐椅</w:t>
            </w:r>
          </w:p>
        </w:tc>
        <w:tc>
          <w:tcPr>
            <w:tcW w:w="2359"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2"/>
                <w:szCs w:val="22"/>
                <w:u w:val="none"/>
              </w:rPr>
            </w:pPr>
          </w:p>
        </w:tc>
        <w:tc>
          <w:tcPr>
            <w:tcW w:w="22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标准</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10</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把</w:t>
            </w:r>
          </w:p>
        </w:tc>
        <w:tc>
          <w:tcPr>
            <w:tcW w:w="267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橡木框架。西皮面，高密度海棉</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580"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b/>
                <w:bCs/>
                <w:i w:val="0"/>
                <w:iCs w:val="0"/>
                <w:color w:val="000000"/>
                <w:sz w:val="22"/>
                <w:szCs w:val="22"/>
                <w:u w:val="none"/>
              </w:rPr>
            </w:pPr>
          </w:p>
        </w:tc>
        <w:tc>
          <w:tcPr>
            <w:tcW w:w="98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w:t>
            </w:r>
          </w:p>
        </w:tc>
        <w:tc>
          <w:tcPr>
            <w:tcW w:w="14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餐边柜</w:t>
            </w:r>
          </w:p>
        </w:tc>
        <w:tc>
          <w:tcPr>
            <w:tcW w:w="235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142240</wp:posOffset>
                  </wp:positionV>
                  <wp:extent cx="913765" cy="1245870"/>
                  <wp:effectExtent l="0" t="0" r="635" b="11430"/>
                  <wp:wrapNone/>
                  <wp:docPr id="274" name="图片_5"/>
                  <wp:cNvGraphicFramePr/>
                  <a:graphic xmlns:a="http://schemas.openxmlformats.org/drawingml/2006/main">
                    <a:graphicData uri="http://schemas.openxmlformats.org/drawingml/2006/picture">
                      <pic:pic xmlns:pic="http://schemas.openxmlformats.org/drawingml/2006/picture">
                        <pic:nvPicPr>
                          <pic:cNvPr id="274" name="图片_5"/>
                          <pic:cNvPicPr/>
                        </pic:nvPicPr>
                        <pic:blipFill>
                          <a:blip r:embed="rId43"/>
                          <a:stretch>
                            <a:fillRect/>
                          </a:stretch>
                        </pic:blipFill>
                        <pic:spPr>
                          <a:xfrm>
                            <a:off x="0" y="0"/>
                            <a:ext cx="913765" cy="1245870"/>
                          </a:xfrm>
                          <a:prstGeom prst="rect">
                            <a:avLst/>
                          </a:prstGeom>
                          <a:noFill/>
                          <a:ln>
                            <a:noFill/>
                          </a:ln>
                        </pic:spPr>
                      </pic:pic>
                    </a:graphicData>
                  </a:graphic>
                </wp:anchor>
              </w:drawing>
            </w:r>
          </w:p>
        </w:tc>
        <w:tc>
          <w:tcPr>
            <w:tcW w:w="22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800*400*800</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只</w:t>
            </w:r>
          </w:p>
        </w:tc>
        <w:tc>
          <w:tcPr>
            <w:tcW w:w="267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bdr w:val="none" w:color="auto" w:sz="0" w:space="0"/>
                <w:lang w:val="en-US" w:eastAsia="zh-CN" w:bidi="ar"/>
              </w:rPr>
              <w:t>免漆板</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940" w:hRule="atLeast"/>
        </w:trPr>
        <w:tc>
          <w:tcPr>
            <w:tcW w:w="12650" w:type="dxa"/>
            <w:gridSpan w:val="8"/>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32"/>
                <w:szCs w:val="32"/>
                <w:u w:val="none"/>
                <w:bdr w:val="none" w:color="auto" w:sz="0" w:space="0"/>
                <w:lang w:val="en-US" w:eastAsia="zh-CN" w:bidi="ar"/>
              </w:rPr>
            </w:pPr>
            <w:r>
              <w:rPr>
                <w:rFonts w:hint="eastAsia" w:ascii="仿宋" w:hAnsi="仿宋" w:eastAsia="仿宋" w:cs="仿宋"/>
                <w:i w:val="0"/>
                <w:iCs w:val="0"/>
                <w:color w:val="000000"/>
                <w:kern w:val="0"/>
                <w:sz w:val="32"/>
                <w:szCs w:val="32"/>
                <w:u w:val="none"/>
                <w:bdr w:val="none" w:color="auto" w:sz="0" w:space="0"/>
                <w:lang w:val="en-US" w:eastAsia="zh-CN" w:bidi="ar"/>
              </w:rPr>
              <w:t>食堂小计：</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980" w:hRule="atLeast"/>
        </w:trPr>
        <w:tc>
          <w:tcPr>
            <w:tcW w:w="12650" w:type="dxa"/>
            <w:gridSpan w:val="8"/>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32"/>
                <w:szCs w:val="32"/>
                <w:u w:val="none"/>
                <w:bdr w:val="none" w:color="auto" w:sz="0" w:space="0"/>
                <w:lang w:val="en-US" w:eastAsia="zh-CN" w:bidi="ar"/>
              </w:rPr>
            </w:pPr>
            <w:r>
              <w:rPr>
                <w:rFonts w:hint="eastAsia" w:ascii="仿宋" w:hAnsi="仿宋" w:eastAsia="仿宋" w:cs="仿宋"/>
                <w:i w:val="0"/>
                <w:iCs w:val="0"/>
                <w:color w:val="000000"/>
                <w:kern w:val="0"/>
                <w:sz w:val="32"/>
                <w:szCs w:val="32"/>
                <w:u w:val="none"/>
                <w:bdr w:val="none" w:color="auto" w:sz="0" w:space="0"/>
                <w:lang w:val="en-US" w:eastAsia="zh-CN" w:bidi="ar"/>
              </w:rPr>
              <w:t>总计：</w:t>
            </w: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c>
          <w:tcPr>
            <w:tcW w:w="10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bdr w:val="none" w:color="auto" w:sz="0" w:space="0"/>
                <w:lang w:val="en-US" w:eastAsia="zh-CN" w:bidi="ar"/>
              </w:rPr>
            </w:pPr>
          </w:p>
        </w:tc>
      </w:tr>
    </w:tbl>
    <w:p>
      <w:pPr>
        <w:jc w:val="left"/>
        <w:rPr>
          <w:rFonts w:hint="eastAsia" w:ascii="黑体" w:hAnsi="黑体" w:eastAsia="黑体" w:cs="黑体"/>
          <w:bCs/>
          <w:sz w:val="32"/>
          <w:szCs w:val="32"/>
          <w:lang w:val="en-US" w:eastAsia="zh-CN"/>
        </w:rPr>
      </w:pPr>
      <w:bookmarkStart w:id="0" w:name="_GoBack"/>
      <w:bookmarkEnd w:id="0"/>
    </w:p>
    <w:sectPr>
      <w:pgSz w:w="16838" w:h="11906" w:orient="landscape"/>
      <w:pgMar w:top="1587" w:right="1474" w:bottom="147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2Y2NjMTA2OGY2YzgxNDNlNTNhZjEzMjRhOTZiNTEifQ=="/>
  </w:docVars>
  <w:rsids>
    <w:rsidRoot w:val="749C1F38"/>
    <w:rsid w:val="00001619"/>
    <w:rsid w:val="00002DF8"/>
    <w:rsid w:val="00006E72"/>
    <w:rsid w:val="000200DB"/>
    <w:rsid w:val="0003786F"/>
    <w:rsid w:val="00056E24"/>
    <w:rsid w:val="00070D52"/>
    <w:rsid w:val="0008719C"/>
    <w:rsid w:val="000A48FC"/>
    <w:rsid w:val="000A7145"/>
    <w:rsid w:val="000B0375"/>
    <w:rsid w:val="000B156A"/>
    <w:rsid w:val="000B2939"/>
    <w:rsid w:val="000B3372"/>
    <w:rsid w:val="000B7140"/>
    <w:rsid w:val="000C20FF"/>
    <w:rsid w:val="000C68AD"/>
    <w:rsid w:val="000D0778"/>
    <w:rsid w:val="000D1E18"/>
    <w:rsid w:val="000E3253"/>
    <w:rsid w:val="000E44E6"/>
    <w:rsid w:val="00120B29"/>
    <w:rsid w:val="001367C8"/>
    <w:rsid w:val="00137C05"/>
    <w:rsid w:val="00141FC3"/>
    <w:rsid w:val="001428E8"/>
    <w:rsid w:val="0016670D"/>
    <w:rsid w:val="001817F5"/>
    <w:rsid w:val="001849B7"/>
    <w:rsid w:val="00186D62"/>
    <w:rsid w:val="00187258"/>
    <w:rsid w:val="001941F0"/>
    <w:rsid w:val="00194A07"/>
    <w:rsid w:val="001A23F3"/>
    <w:rsid w:val="001B404A"/>
    <w:rsid w:val="001B5615"/>
    <w:rsid w:val="001D4A1A"/>
    <w:rsid w:val="001D6860"/>
    <w:rsid w:val="001E2301"/>
    <w:rsid w:val="001F004F"/>
    <w:rsid w:val="001F10DB"/>
    <w:rsid w:val="001F186A"/>
    <w:rsid w:val="001F2B15"/>
    <w:rsid w:val="001F635C"/>
    <w:rsid w:val="00200E99"/>
    <w:rsid w:val="00204678"/>
    <w:rsid w:val="0020568F"/>
    <w:rsid w:val="00205A2C"/>
    <w:rsid w:val="00207FEC"/>
    <w:rsid w:val="00214824"/>
    <w:rsid w:val="002200CF"/>
    <w:rsid w:val="00227EA5"/>
    <w:rsid w:val="0023355A"/>
    <w:rsid w:val="002403D8"/>
    <w:rsid w:val="00245CE2"/>
    <w:rsid w:val="00251752"/>
    <w:rsid w:val="0025451B"/>
    <w:rsid w:val="00264B39"/>
    <w:rsid w:val="00267533"/>
    <w:rsid w:val="002729A0"/>
    <w:rsid w:val="00275856"/>
    <w:rsid w:val="00281BB6"/>
    <w:rsid w:val="0028248C"/>
    <w:rsid w:val="00285AB2"/>
    <w:rsid w:val="00285BCB"/>
    <w:rsid w:val="002A15B7"/>
    <w:rsid w:val="002B455C"/>
    <w:rsid w:val="002D2700"/>
    <w:rsid w:val="002E3D6D"/>
    <w:rsid w:val="002E486B"/>
    <w:rsid w:val="002F47EF"/>
    <w:rsid w:val="002F7D58"/>
    <w:rsid w:val="00303A28"/>
    <w:rsid w:val="003061B2"/>
    <w:rsid w:val="00314998"/>
    <w:rsid w:val="0031638B"/>
    <w:rsid w:val="0032172A"/>
    <w:rsid w:val="003226F5"/>
    <w:rsid w:val="00324BD7"/>
    <w:rsid w:val="003541E2"/>
    <w:rsid w:val="0035551D"/>
    <w:rsid w:val="003659A0"/>
    <w:rsid w:val="00375912"/>
    <w:rsid w:val="00386658"/>
    <w:rsid w:val="00390941"/>
    <w:rsid w:val="003A3A72"/>
    <w:rsid w:val="003C0D3D"/>
    <w:rsid w:val="003C7391"/>
    <w:rsid w:val="003C7501"/>
    <w:rsid w:val="003D0EF5"/>
    <w:rsid w:val="003E64E3"/>
    <w:rsid w:val="003E775C"/>
    <w:rsid w:val="003F5245"/>
    <w:rsid w:val="004006B0"/>
    <w:rsid w:val="00414581"/>
    <w:rsid w:val="00426133"/>
    <w:rsid w:val="004266C2"/>
    <w:rsid w:val="00434F32"/>
    <w:rsid w:val="004435DB"/>
    <w:rsid w:val="0044440F"/>
    <w:rsid w:val="004477A8"/>
    <w:rsid w:val="00456FA2"/>
    <w:rsid w:val="00465638"/>
    <w:rsid w:val="00465CDF"/>
    <w:rsid w:val="00470262"/>
    <w:rsid w:val="00473297"/>
    <w:rsid w:val="00483749"/>
    <w:rsid w:val="00483CDB"/>
    <w:rsid w:val="004853D8"/>
    <w:rsid w:val="0049226F"/>
    <w:rsid w:val="004969CB"/>
    <w:rsid w:val="004B17A9"/>
    <w:rsid w:val="004C310D"/>
    <w:rsid w:val="004D5BDC"/>
    <w:rsid w:val="004D6531"/>
    <w:rsid w:val="004D659C"/>
    <w:rsid w:val="004E28C3"/>
    <w:rsid w:val="00502BA5"/>
    <w:rsid w:val="00507508"/>
    <w:rsid w:val="00521821"/>
    <w:rsid w:val="00540FF1"/>
    <w:rsid w:val="00545F8E"/>
    <w:rsid w:val="00546845"/>
    <w:rsid w:val="00550DA6"/>
    <w:rsid w:val="00552F4D"/>
    <w:rsid w:val="0055791F"/>
    <w:rsid w:val="005707A9"/>
    <w:rsid w:val="00571413"/>
    <w:rsid w:val="0057222A"/>
    <w:rsid w:val="0057258F"/>
    <w:rsid w:val="00577A6E"/>
    <w:rsid w:val="00583241"/>
    <w:rsid w:val="00584B21"/>
    <w:rsid w:val="0059308C"/>
    <w:rsid w:val="0059698F"/>
    <w:rsid w:val="005B3FB1"/>
    <w:rsid w:val="005B75A0"/>
    <w:rsid w:val="005C24E6"/>
    <w:rsid w:val="005C6107"/>
    <w:rsid w:val="005D6B61"/>
    <w:rsid w:val="005D6F16"/>
    <w:rsid w:val="005E567D"/>
    <w:rsid w:val="00601758"/>
    <w:rsid w:val="0060363F"/>
    <w:rsid w:val="00607346"/>
    <w:rsid w:val="0061055C"/>
    <w:rsid w:val="00615920"/>
    <w:rsid w:val="006210AD"/>
    <w:rsid w:val="00624CCB"/>
    <w:rsid w:val="006261B8"/>
    <w:rsid w:val="006268D5"/>
    <w:rsid w:val="006323FB"/>
    <w:rsid w:val="00634138"/>
    <w:rsid w:val="00641F76"/>
    <w:rsid w:val="006449B0"/>
    <w:rsid w:val="00650F8C"/>
    <w:rsid w:val="00651F2E"/>
    <w:rsid w:val="00656EDF"/>
    <w:rsid w:val="00662656"/>
    <w:rsid w:val="00682D77"/>
    <w:rsid w:val="00692EDD"/>
    <w:rsid w:val="0069317F"/>
    <w:rsid w:val="00694D09"/>
    <w:rsid w:val="006A2AAE"/>
    <w:rsid w:val="006A5BFF"/>
    <w:rsid w:val="006B2A5A"/>
    <w:rsid w:val="006B3E08"/>
    <w:rsid w:val="006B4528"/>
    <w:rsid w:val="006B7C16"/>
    <w:rsid w:val="006C000F"/>
    <w:rsid w:val="006C2F5A"/>
    <w:rsid w:val="006C35D8"/>
    <w:rsid w:val="006D5C1C"/>
    <w:rsid w:val="006D6875"/>
    <w:rsid w:val="006F33E2"/>
    <w:rsid w:val="007026D1"/>
    <w:rsid w:val="007062D2"/>
    <w:rsid w:val="0071025A"/>
    <w:rsid w:val="0071115B"/>
    <w:rsid w:val="00720131"/>
    <w:rsid w:val="00721782"/>
    <w:rsid w:val="00722223"/>
    <w:rsid w:val="0072287C"/>
    <w:rsid w:val="00725640"/>
    <w:rsid w:val="00735511"/>
    <w:rsid w:val="00741930"/>
    <w:rsid w:val="00744D4F"/>
    <w:rsid w:val="00747CDE"/>
    <w:rsid w:val="0076172D"/>
    <w:rsid w:val="007753A5"/>
    <w:rsid w:val="00775CC1"/>
    <w:rsid w:val="00786F41"/>
    <w:rsid w:val="007A78CA"/>
    <w:rsid w:val="007B1F96"/>
    <w:rsid w:val="007B5F71"/>
    <w:rsid w:val="007B6FA4"/>
    <w:rsid w:val="007B7326"/>
    <w:rsid w:val="007B7C48"/>
    <w:rsid w:val="007F24AF"/>
    <w:rsid w:val="007F7850"/>
    <w:rsid w:val="00801328"/>
    <w:rsid w:val="0080430C"/>
    <w:rsid w:val="008068FF"/>
    <w:rsid w:val="008158CD"/>
    <w:rsid w:val="00831398"/>
    <w:rsid w:val="00832960"/>
    <w:rsid w:val="00845B80"/>
    <w:rsid w:val="0085128F"/>
    <w:rsid w:val="00862E62"/>
    <w:rsid w:val="00863C16"/>
    <w:rsid w:val="008651D5"/>
    <w:rsid w:val="008730B1"/>
    <w:rsid w:val="00882E84"/>
    <w:rsid w:val="008904E9"/>
    <w:rsid w:val="0089145C"/>
    <w:rsid w:val="008914FE"/>
    <w:rsid w:val="008B72DA"/>
    <w:rsid w:val="008C13F7"/>
    <w:rsid w:val="008C4B17"/>
    <w:rsid w:val="008D0F42"/>
    <w:rsid w:val="008E292E"/>
    <w:rsid w:val="008E457C"/>
    <w:rsid w:val="008E63C4"/>
    <w:rsid w:val="00907403"/>
    <w:rsid w:val="00915FE6"/>
    <w:rsid w:val="00920277"/>
    <w:rsid w:val="00927259"/>
    <w:rsid w:val="00951B05"/>
    <w:rsid w:val="00955E3A"/>
    <w:rsid w:val="00955E3C"/>
    <w:rsid w:val="00971B64"/>
    <w:rsid w:val="009802DA"/>
    <w:rsid w:val="00982496"/>
    <w:rsid w:val="009A1192"/>
    <w:rsid w:val="009A3E86"/>
    <w:rsid w:val="009A47B1"/>
    <w:rsid w:val="009B0618"/>
    <w:rsid w:val="009B1355"/>
    <w:rsid w:val="009B64F8"/>
    <w:rsid w:val="009C6FD5"/>
    <w:rsid w:val="009D65E0"/>
    <w:rsid w:val="009D6E2B"/>
    <w:rsid w:val="009E6C02"/>
    <w:rsid w:val="009E77C1"/>
    <w:rsid w:val="009F3C07"/>
    <w:rsid w:val="009F75AE"/>
    <w:rsid w:val="00A0297C"/>
    <w:rsid w:val="00A03BB0"/>
    <w:rsid w:val="00A04C75"/>
    <w:rsid w:val="00A061EF"/>
    <w:rsid w:val="00A1012E"/>
    <w:rsid w:val="00A11680"/>
    <w:rsid w:val="00A1172A"/>
    <w:rsid w:val="00A17615"/>
    <w:rsid w:val="00A24278"/>
    <w:rsid w:val="00A305EF"/>
    <w:rsid w:val="00A30856"/>
    <w:rsid w:val="00A326BD"/>
    <w:rsid w:val="00A35748"/>
    <w:rsid w:val="00A56370"/>
    <w:rsid w:val="00A56EC3"/>
    <w:rsid w:val="00A605FC"/>
    <w:rsid w:val="00A8530D"/>
    <w:rsid w:val="00A861B9"/>
    <w:rsid w:val="00A90043"/>
    <w:rsid w:val="00AA7461"/>
    <w:rsid w:val="00AB6AE2"/>
    <w:rsid w:val="00AC09D1"/>
    <w:rsid w:val="00AC274C"/>
    <w:rsid w:val="00AC3456"/>
    <w:rsid w:val="00AC3E10"/>
    <w:rsid w:val="00AD52EC"/>
    <w:rsid w:val="00AE2F6A"/>
    <w:rsid w:val="00AE6054"/>
    <w:rsid w:val="00AE7CF7"/>
    <w:rsid w:val="00AF282A"/>
    <w:rsid w:val="00B10ED1"/>
    <w:rsid w:val="00B13839"/>
    <w:rsid w:val="00B168FC"/>
    <w:rsid w:val="00B16B8E"/>
    <w:rsid w:val="00B17B58"/>
    <w:rsid w:val="00B424FA"/>
    <w:rsid w:val="00B456C9"/>
    <w:rsid w:val="00B533AD"/>
    <w:rsid w:val="00B5646F"/>
    <w:rsid w:val="00B56DF1"/>
    <w:rsid w:val="00B62BDC"/>
    <w:rsid w:val="00B64A84"/>
    <w:rsid w:val="00B65297"/>
    <w:rsid w:val="00B65424"/>
    <w:rsid w:val="00B6642B"/>
    <w:rsid w:val="00B677A2"/>
    <w:rsid w:val="00B705C3"/>
    <w:rsid w:val="00B70927"/>
    <w:rsid w:val="00B74ECD"/>
    <w:rsid w:val="00B83B27"/>
    <w:rsid w:val="00B84A83"/>
    <w:rsid w:val="00B95751"/>
    <w:rsid w:val="00BA7AF6"/>
    <w:rsid w:val="00BC674C"/>
    <w:rsid w:val="00BC7DB7"/>
    <w:rsid w:val="00BE0832"/>
    <w:rsid w:val="00BE7761"/>
    <w:rsid w:val="00C05409"/>
    <w:rsid w:val="00C05444"/>
    <w:rsid w:val="00C06163"/>
    <w:rsid w:val="00C12112"/>
    <w:rsid w:val="00C23590"/>
    <w:rsid w:val="00C25C8C"/>
    <w:rsid w:val="00C31AE7"/>
    <w:rsid w:val="00C321B6"/>
    <w:rsid w:val="00C40769"/>
    <w:rsid w:val="00C63C8A"/>
    <w:rsid w:val="00C66903"/>
    <w:rsid w:val="00C674B1"/>
    <w:rsid w:val="00C707F4"/>
    <w:rsid w:val="00C70BA4"/>
    <w:rsid w:val="00C72B35"/>
    <w:rsid w:val="00C76B73"/>
    <w:rsid w:val="00C84C92"/>
    <w:rsid w:val="00C90170"/>
    <w:rsid w:val="00C955BF"/>
    <w:rsid w:val="00CC24C4"/>
    <w:rsid w:val="00CC36B8"/>
    <w:rsid w:val="00CC5969"/>
    <w:rsid w:val="00CD2786"/>
    <w:rsid w:val="00CE4184"/>
    <w:rsid w:val="00CE4837"/>
    <w:rsid w:val="00CE505C"/>
    <w:rsid w:val="00CE730E"/>
    <w:rsid w:val="00CF36DE"/>
    <w:rsid w:val="00CF7C52"/>
    <w:rsid w:val="00D03E1E"/>
    <w:rsid w:val="00D145BF"/>
    <w:rsid w:val="00D23C32"/>
    <w:rsid w:val="00D33856"/>
    <w:rsid w:val="00D3487D"/>
    <w:rsid w:val="00D4347D"/>
    <w:rsid w:val="00D51804"/>
    <w:rsid w:val="00D534CB"/>
    <w:rsid w:val="00D55532"/>
    <w:rsid w:val="00D6599F"/>
    <w:rsid w:val="00D70389"/>
    <w:rsid w:val="00D82532"/>
    <w:rsid w:val="00D833D5"/>
    <w:rsid w:val="00D901D9"/>
    <w:rsid w:val="00D90DF3"/>
    <w:rsid w:val="00D947E1"/>
    <w:rsid w:val="00D9613C"/>
    <w:rsid w:val="00DA6442"/>
    <w:rsid w:val="00DB62DC"/>
    <w:rsid w:val="00DB7158"/>
    <w:rsid w:val="00DC3F51"/>
    <w:rsid w:val="00DD3107"/>
    <w:rsid w:val="00DD7281"/>
    <w:rsid w:val="00DE007E"/>
    <w:rsid w:val="00DF35D5"/>
    <w:rsid w:val="00DF55B2"/>
    <w:rsid w:val="00E076C3"/>
    <w:rsid w:val="00E138A2"/>
    <w:rsid w:val="00E17AF5"/>
    <w:rsid w:val="00E24AF3"/>
    <w:rsid w:val="00E30D3E"/>
    <w:rsid w:val="00E40410"/>
    <w:rsid w:val="00E41348"/>
    <w:rsid w:val="00E46994"/>
    <w:rsid w:val="00E52AF9"/>
    <w:rsid w:val="00E56B28"/>
    <w:rsid w:val="00E60199"/>
    <w:rsid w:val="00E664C2"/>
    <w:rsid w:val="00E71D5C"/>
    <w:rsid w:val="00E96007"/>
    <w:rsid w:val="00EB29CE"/>
    <w:rsid w:val="00ED2351"/>
    <w:rsid w:val="00EE0E12"/>
    <w:rsid w:val="00EE1143"/>
    <w:rsid w:val="00EE3DF1"/>
    <w:rsid w:val="00EE6B0B"/>
    <w:rsid w:val="00EF0BDC"/>
    <w:rsid w:val="00EF3C79"/>
    <w:rsid w:val="00EF5722"/>
    <w:rsid w:val="00F027A8"/>
    <w:rsid w:val="00F07299"/>
    <w:rsid w:val="00F11AA7"/>
    <w:rsid w:val="00F14AED"/>
    <w:rsid w:val="00F17C86"/>
    <w:rsid w:val="00F23E7E"/>
    <w:rsid w:val="00F25AF0"/>
    <w:rsid w:val="00F27FF1"/>
    <w:rsid w:val="00F32B0B"/>
    <w:rsid w:val="00F340CA"/>
    <w:rsid w:val="00F34F9B"/>
    <w:rsid w:val="00F47F9F"/>
    <w:rsid w:val="00F54A76"/>
    <w:rsid w:val="00F55B74"/>
    <w:rsid w:val="00F623B3"/>
    <w:rsid w:val="00F72890"/>
    <w:rsid w:val="00F75062"/>
    <w:rsid w:val="00F86176"/>
    <w:rsid w:val="00F87BE1"/>
    <w:rsid w:val="00F93BF3"/>
    <w:rsid w:val="00F93C08"/>
    <w:rsid w:val="00FA70AA"/>
    <w:rsid w:val="00FC546D"/>
    <w:rsid w:val="00FD58D7"/>
    <w:rsid w:val="00FF7701"/>
    <w:rsid w:val="02656B18"/>
    <w:rsid w:val="051C6A47"/>
    <w:rsid w:val="09A90B64"/>
    <w:rsid w:val="0A64489B"/>
    <w:rsid w:val="0A726BCF"/>
    <w:rsid w:val="154E322A"/>
    <w:rsid w:val="15966B4B"/>
    <w:rsid w:val="19351C0F"/>
    <w:rsid w:val="199B6470"/>
    <w:rsid w:val="1EBC0978"/>
    <w:rsid w:val="1F094816"/>
    <w:rsid w:val="203B2505"/>
    <w:rsid w:val="22DD3655"/>
    <w:rsid w:val="2580651A"/>
    <w:rsid w:val="28E279B2"/>
    <w:rsid w:val="30DE1913"/>
    <w:rsid w:val="37E262F1"/>
    <w:rsid w:val="3CB37D2A"/>
    <w:rsid w:val="3E9D5F46"/>
    <w:rsid w:val="3EFF6CD9"/>
    <w:rsid w:val="4157234B"/>
    <w:rsid w:val="43272D44"/>
    <w:rsid w:val="435A7A2D"/>
    <w:rsid w:val="44CE5151"/>
    <w:rsid w:val="45AF05D2"/>
    <w:rsid w:val="461E5F97"/>
    <w:rsid w:val="473A5A66"/>
    <w:rsid w:val="47433A8B"/>
    <w:rsid w:val="47E74CD5"/>
    <w:rsid w:val="4B3379EF"/>
    <w:rsid w:val="4BA821A3"/>
    <w:rsid w:val="4C12521A"/>
    <w:rsid w:val="4D257B59"/>
    <w:rsid w:val="500959B2"/>
    <w:rsid w:val="519F2263"/>
    <w:rsid w:val="55436D76"/>
    <w:rsid w:val="558F695C"/>
    <w:rsid w:val="56773E73"/>
    <w:rsid w:val="56C37942"/>
    <w:rsid w:val="583D6B43"/>
    <w:rsid w:val="593237D0"/>
    <w:rsid w:val="59495FC4"/>
    <w:rsid w:val="599505F2"/>
    <w:rsid w:val="5A925B36"/>
    <w:rsid w:val="5CFF237D"/>
    <w:rsid w:val="5F341FE6"/>
    <w:rsid w:val="60737941"/>
    <w:rsid w:val="64CC719D"/>
    <w:rsid w:val="68DF7FD2"/>
    <w:rsid w:val="6A390B6F"/>
    <w:rsid w:val="6C086D03"/>
    <w:rsid w:val="6CEB3CD6"/>
    <w:rsid w:val="6D2401C4"/>
    <w:rsid w:val="6DD84013"/>
    <w:rsid w:val="703F0A84"/>
    <w:rsid w:val="70D34D1C"/>
    <w:rsid w:val="71B73CF3"/>
    <w:rsid w:val="71D16D4A"/>
    <w:rsid w:val="72316A9A"/>
    <w:rsid w:val="749C1F38"/>
    <w:rsid w:val="76FB771C"/>
    <w:rsid w:val="78C21C74"/>
    <w:rsid w:val="7B634579"/>
    <w:rsid w:val="7C4314D9"/>
    <w:rsid w:val="7DF343CB"/>
    <w:rsid w:val="7FFB0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semiHidden/>
    <w:unhideWhenUsed/>
    <w:qFormat/>
    <w:uiPriority w:val="99"/>
    <w:pPr>
      <w:spacing w:after="120"/>
      <w:ind w:left="420" w:leftChars="200"/>
    </w:pPr>
  </w:style>
  <w:style w:type="paragraph" w:styleId="3">
    <w:name w:val="footer"/>
    <w:basedOn w:val="1"/>
    <w:link w:val="18"/>
    <w:qFormat/>
    <w:uiPriority w:val="0"/>
    <w:pPr>
      <w:tabs>
        <w:tab w:val="center" w:pos="4153"/>
        <w:tab w:val="right" w:pos="8306"/>
      </w:tabs>
      <w:snapToGrid w:val="0"/>
      <w:jc w:val="left"/>
    </w:pPr>
    <w:rPr>
      <w:sz w:val="18"/>
      <w:szCs w:val="18"/>
    </w:rPr>
  </w:style>
  <w:style w:type="paragraph" w:styleId="4">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99"/>
    <w:pPr>
      <w:spacing w:before="120" w:after="120"/>
      <w:jc w:val="left"/>
    </w:pPr>
    <w:rPr>
      <w:rFonts w:ascii="Calibri" w:hAnsi="Calibri" w:eastAsia="宋体" w:cs="宋体"/>
      <w:b/>
      <w:bCs/>
      <w:caps/>
      <w:sz w:val="20"/>
      <w:szCs w:val="20"/>
    </w:rPr>
  </w:style>
  <w:style w:type="paragraph" w:styleId="6">
    <w:name w:val="Body Text First Indent 2"/>
    <w:basedOn w:val="2"/>
    <w:next w:val="1"/>
    <w:unhideWhenUsed/>
    <w:qFormat/>
    <w:uiPriority w:val="99"/>
    <w:pPr>
      <w:spacing w:before="100" w:beforeAutospacing="1"/>
      <w:ind w:firstLine="420" w:firstLineChars="200"/>
    </w:pPr>
    <w:rPr>
      <w:rFonts w:ascii="Calibri" w:hAnsi="Calibri" w:eastAsia="宋体" w:cs="Times New Roman"/>
      <w:szCs w:val="21"/>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font31"/>
    <w:basedOn w:val="9"/>
    <w:qFormat/>
    <w:uiPriority w:val="0"/>
    <w:rPr>
      <w:rFonts w:hint="default" w:ascii="Times New Roman" w:hAnsi="Times New Roman" w:cs="Times New Roman"/>
      <w:color w:val="000000"/>
      <w:sz w:val="20"/>
      <w:szCs w:val="20"/>
      <w:u w:val="none"/>
    </w:rPr>
  </w:style>
  <w:style w:type="character" w:customStyle="1" w:styleId="11">
    <w:name w:val="font21"/>
    <w:basedOn w:val="9"/>
    <w:qFormat/>
    <w:uiPriority w:val="0"/>
    <w:rPr>
      <w:rFonts w:hint="eastAsia" w:ascii="宋体" w:hAnsi="宋体" w:eastAsia="宋体" w:cs="宋体"/>
      <w:color w:val="000000"/>
      <w:sz w:val="20"/>
      <w:szCs w:val="20"/>
      <w:u w:val="none"/>
    </w:rPr>
  </w:style>
  <w:style w:type="paragraph" w:styleId="12">
    <w:name w:val="List Paragraph"/>
    <w:basedOn w:val="1"/>
    <w:qFormat/>
    <w:uiPriority w:val="99"/>
    <w:pPr>
      <w:ind w:firstLine="420" w:firstLineChars="200"/>
    </w:pPr>
  </w:style>
  <w:style w:type="character" w:customStyle="1" w:styleId="13">
    <w:name w:val="font41"/>
    <w:basedOn w:val="9"/>
    <w:qFormat/>
    <w:uiPriority w:val="0"/>
    <w:rPr>
      <w:rFonts w:hint="default" w:ascii="Times New Roman" w:hAnsi="Times New Roman" w:cs="Times New Roman"/>
      <w:color w:val="000000"/>
      <w:sz w:val="28"/>
      <w:szCs w:val="28"/>
      <w:u w:val="none"/>
    </w:rPr>
  </w:style>
  <w:style w:type="character" w:customStyle="1" w:styleId="14">
    <w:name w:val="font11"/>
    <w:basedOn w:val="9"/>
    <w:qFormat/>
    <w:uiPriority w:val="0"/>
    <w:rPr>
      <w:rFonts w:hint="default" w:ascii="仿宋_GB2312" w:eastAsia="仿宋_GB2312" w:cs="仿宋_GB2312"/>
      <w:color w:val="000000"/>
      <w:sz w:val="28"/>
      <w:szCs w:val="28"/>
      <w:u w:val="none"/>
    </w:rPr>
  </w:style>
  <w:style w:type="character" w:customStyle="1" w:styleId="15">
    <w:name w:val="font71"/>
    <w:basedOn w:val="9"/>
    <w:qFormat/>
    <w:uiPriority w:val="0"/>
    <w:rPr>
      <w:rFonts w:hint="default" w:ascii="Times New Roman" w:hAnsi="Times New Roman" w:cs="Times New Roman"/>
      <w:color w:val="000000"/>
      <w:sz w:val="26"/>
      <w:szCs w:val="26"/>
      <w:u w:val="none"/>
    </w:rPr>
  </w:style>
  <w:style w:type="paragraph" w:customStyle="1" w:styleId="16">
    <w:name w:val="Table Paragraph"/>
    <w:basedOn w:val="1"/>
    <w:semiHidden/>
    <w:qFormat/>
    <w:uiPriority w:val="0"/>
    <w:rPr>
      <w:rFonts w:ascii="Calibri" w:hAnsi="Calibri" w:eastAsia="宋体" w:cs="Times New Roman"/>
      <w:sz w:val="24"/>
    </w:rPr>
  </w:style>
  <w:style w:type="character" w:customStyle="1" w:styleId="17">
    <w:name w:val="页眉 字符"/>
    <w:basedOn w:val="9"/>
    <w:link w:val="4"/>
    <w:qFormat/>
    <w:uiPriority w:val="0"/>
    <w:rPr>
      <w:rFonts w:asciiTheme="minorHAnsi" w:hAnsiTheme="minorHAnsi" w:eastAsiaTheme="minorEastAsia" w:cstheme="minorBidi"/>
      <w:kern w:val="2"/>
      <w:sz w:val="18"/>
      <w:szCs w:val="18"/>
    </w:rPr>
  </w:style>
  <w:style w:type="character" w:customStyle="1" w:styleId="18">
    <w:name w:val="页脚 字符"/>
    <w:basedOn w:val="9"/>
    <w:link w:val="3"/>
    <w:qFormat/>
    <w:uiPriority w:val="0"/>
    <w:rPr>
      <w:rFonts w:asciiTheme="minorHAnsi" w:hAnsiTheme="minorHAnsi" w:eastAsiaTheme="minorEastAsia" w:cstheme="minorBidi"/>
      <w:kern w:val="2"/>
      <w:sz w:val="18"/>
      <w:szCs w:val="18"/>
    </w:rPr>
  </w:style>
  <w:style w:type="character" w:customStyle="1" w:styleId="19">
    <w:name w:val="font61"/>
    <w:basedOn w:val="9"/>
    <w:uiPriority w:val="0"/>
    <w:rPr>
      <w:rFonts w:hint="eastAsia" w:ascii="仿宋" w:hAnsi="仿宋" w:eastAsia="仿宋" w:cs="仿宋"/>
      <w:color w:val="000000"/>
      <w:sz w:val="18"/>
      <w:szCs w:val="18"/>
      <w:u w:val="none"/>
    </w:rPr>
  </w:style>
  <w:style w:type="character" w:customStyle="1" w:styleId="20">
    <w:name w:val="font91"/>
    <w:basedOn w:val="9"/>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4792</Words>
  <Characters>5521</Characters>
  <Lines>9</Lines>
  <Paragraphs>2</Paragraphs>
  <TotalTime>7</TotalTime>
  <ScaleCrop>false</ScaleCrop>
  <LinksUpToDate>false</LinksUpToDate>
  <CharactersWithSpaces>7045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2020-07-14T02:38:00Z</dcterms:created>
  <dc:creator>蛋蛋君丶</dc:creator>
  <cp:lastModifiedBy>1</cp:lastModifiedBy>
  <dcterms:modified xsi:type="dcterms:W3CDTF">2023-08-18T10:30:10Z</dcterms:modified>
  <cp:revision>406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E2EBAC52BCEB4824BC6243A546D39BE2_13</vt:lpwstr>
  </property>
</Properties>
</file>