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Cs/>
          <w:snapToGrid w:val="0"/>
          <w:color w:val="000000" w:themeColor="text1"/>
          <w:sz w:val="52"/>
          <w:szCs w:val="52"/>
          <w:highlight w:val="none"/>
          <w14:textFill>
            <w14:solidFill>
              <w14:schemeClr w14:val="tx1"/>
            </w14:solidFill>
          </w14:textFill>
        </w:rPr>
      </w:pPr>
      <w:bookmarkStart w:id="0" w:name="_Toc256000039"/>
    </w:p>
    <w:p>
      <w:pPr>
        <w:jc w:val="center"/>
        <w:rPr>
          <w:rFonts w:ascii="仿宋" w:hAnsi="仿宋" w:eastAsia="仿宋" w:cs="仿宋"/>
          <w:bCs/>
          <w:snapToGrid w:val="0"/>
          <w:color w:val="000000" w:themeColor="text1"/>
          <w:sz w:val="52"/>
          <w:szCs w:val="52"/>
          <w:highlight w:val="none"/>
          <w14:textFill>
            <w14:solidFill>
              <w14:schemeClr w14:val="tx1"/>
            </w14:solidFill>
          </w14:textFill>
        </w:rPr>
      </w:pPr>
    </w:p>
    <w:p>
      <w:pPr>
        <w:jc w:val="center"/>
        <w:rPr>
          <w:rFonts w:ascii="仿宋" w:hAnsi="仿宋" w:eastAsia="仿宋" w:cs="仿宋"/>
          <w:bCs/>
          <w:snapToGrid w:val="0"/>
          <w:color w:val="000000" w:themeColor="text1"/>
          <w:sz w:val="52"/>
          <w:szCs w:val="52"/>
          <w:highlight w:val="none"/>
          <w14:textFill>
            <w14:solidFill>
              <w14:schemeClr w14:val="tx1"/>
            </w14:solidFill>
          </w14:textFill>
        </w:rPr>
      </w:pPr>
      <w:r>
        <w:rPr>
          <w:rFonts w:hint="eastAsia" w:ascii="仿宋" w:hAnsi="仿宋" w:eastAsia="仿宋" w:cs="仿宋"/>
          <w:bCs/>
          <w:snapToGrid w:val="0"/>
          <w:color w:val="000000" w:themeColor="text1"/>
          <w:sz w:val="52"/>
          <w:szCs w:val="52"/>
          <w:highlight w:val="none"/>
          <w14:textFill>
            <w14:solidFill>
              <w14:schemeClr w14:val="tx1"/>
            </w14:solidFill>
          </w14:textFill>
        </w:rPr>
        <w:t>南昌职业大学</w:t>
      </w:r>
    </w:p>
    <w:p>
      <w:pPr>
        <w:jc w:val="center"/>
        <w:rPr>
          <w:rFonts w:ascii="仿宋" w:hAnsi="仿宋" w:eastAsia="仿宋" w:cs="仿宋"/>
          <w:bCs/>
          <w:snapToGrid w:val="0"/>
          <w:color w:val="000000" w:themeColor="text1"/>
          <w:sz w:val="52"/>
          <w:szCs w:val="52"/>
          <w:highlight w:val="none"/>
          <w14:textFill>
            <w14:solidFill>
              <w14:schemeClr w14:val="tx1"/>
            </w14:solidFill>
          </w14:textFill>
        </w:rPr>
      </w:pPr>
      <w:r>
        <w:rPr>
          <w:rFonts w:hint="eastAsia" w:ascii="仿宋" w:hAnsi="仿宋" w:eastAsia="仿宋" w:cs="仿宋"/>
          <w:bCs/>
          <w:snapToGrid w:val="0"/>
          <w:color w:val="000000" w:themeColor="text1"/>
          <w:sz w:val="52"/>
          <w:szCs w:val="52"/>
          <w:highlight w:val="none"/>
          <w14:textFill>
            <w14:solidFill>
              <w14:schemeClr w14:val="tx1"/>
            </w14:solidFill>
          </w14:textFill>
        </w:rPr>
        <w:t>合同节水管理服务项目采购</w:t>
      </w:r>
    </w:p>
    <w:p>
      <w:pPr>
        <w:ind w:left="-138" w:leftChars="-90" w:hanging="51" w:hangingChars="24"/>
        <w:jc w:val="center"/>
        <w:rPr>
          <w:rFonts w:ascii="仿宋" w:hAnsi="仿宋" w:eastAsia="仿宋" w:cs="仿宋"/>
          <w:b/>
          <w:snapToGrid w:val="0"/>
          <w:color w:val="000000" w:themeColor="text1"/>
          <w:szCs w:val="21"/>
          <w:highlight w:val="none"/>
          <w14:textFill>
            <w14:solidFill>
              <w14:schemeClr w14:val="tx1"/>
            </w14:solidFill>
          </w14:textFill>
        </w:rPr>
      </w:pPr>
    </w:p>
    <w:p>
      <w:pPr>
        <w:ind w:left="-122" w:leftChars="-90" w:hanging="67" w:hangingChars="24"/>
        <w:jc w:val="center"/>
        <w:rPr>
          <w:rFonts w:ascii="仿宋" w:hAnsi="仿宋" w:eastAsia="仿宋" w:cs="仿宋"/>
          <w:b/>
          <w:snapToGrid w:val="0"/>
          <w:color w:val="000000" w:themeColor="text1"/>
          <w:sz w:val="28"/>
          <w:szCs w:val="28"/>
          <w:highlight w:val="none"/>
          <w14:textFill>
            <w14:solidFill>
              <w14:schemeClr w14:val="tx1"/>
            </w14:solidFill>
          </w14:textFill>
        </w:rPr>
      </w:pPr>
    </w:p>
    <w:p>
      <w:pPr>
        <w:ind w:left="-138" w:leftChars="-90" w:hanging="51" w:hangingChars="24"/>
        <w:jc w:val="center"/>
        <w:rPr>
          <w:rFonts w:ascii="仿宋" w:hAnsi="仿宋" w:eastAsia="仿宋" w:cs="仿宋"/>
          <w:b/>
          <w:snapToGrid w:val="0"/>
          <w:color w:val="000000" w:themeColor="text1"/>
          <w:szCs w:val="21"/>
          <w:highlight w:val="none"/>
          <w14:textFill>
            <w14:solidFill>
              <w14:schemeClr w14:val="tx1"/>
            </w14:solidFill>
          </w14:textFill>
        </w:rPr>
      </w:pPr>
    </w:p>
    <w:p>
      <w:pPr>
        <w:ind w:left="-138" w:leftChars="-90" w:hanging="51" w:hangingChars="24"/>
        <w:jc w:val="center"/>
        <w:rPr>
          <w:rFonts w:ascii="仿宋" w:hAnsi="仿宋" w:eastAsia="仿宋" w:cs="仿宋"/>
          <w:b/>
          <w:snapToGrid w:val="0"/>
          <w:color w:val="000000" w:themeColor="text1"/>
          <w:szCs w:val="21"/>
          <w:highlight w:val="none"/>
          <w14:textFill>
            <w14:solidFill>
              <w14:schemeClr w14:val="tx1"/>
            </w14:solidFill>
          </w14:textFill>
        </w:rPr>
      </w:pPr>
    </w:p>
    <w:p>
      <w:pPr>
        <w:jc w:val="center"/>
        <w:rPr>
          <w:rFonts w:ascii="仿宋" w:hAnsi="仿宋" w:eastAsia="仿宋" w:cs="仿宋"/>
          <w:b/>
          <w:snapToGrid w:val="0"/>
          <w:color w:val="000000" w:themeColor="text1"/>
          <w:sz w:val="84"/>
          <w:szCs w:val="84"/>
          <w:highlight w:val="none"/>
          <w14:textFill>
            <w14:solidFill>
              <w14:schemeClr w14:val="tx1"/>
            </w14:solidFill>
          </w14:textFill>
        </w:rPr>
      </w:pPr>
      <w:r>
        <w:rPr>
          <w:rFonts w:hint="eastAsia" w:ascii="仿宋" w:hAnsi="仿宋" w:eastAsia="仿宋" w:cs="仿宋"/>
          <w:b/>
          <w:snapToGrid w:val="0"/>
          <w:color w:val="000000" w:themeColor="text1"/>
          <w:sz w:val="84"/>
          <w:szCs w:val="84"/>
          <w:highlight w:val="none"/>
          <w14:textFill>
            <w14:solidFill>
              <w14:schemeClr w14:val="tx1"/>
            </w14:solidFill>
          </w14:textFill>
        </w:rPr>
        <w:t>招标文件</w:t>
      </w:r>
    </w:p>
    <w:p>
      <w:pPr>
        <w:pStyle w:val="9"/>
        <w:adjustRightInd w:val="0"/>
        <w:snapToGrid w:val="0"/>
        <w:spacing w:line="300" w:lineRule="auto"/>
        <w:jc w:val="center"/>
        <w:rPr>
          <w:rFonts w:ascii="仿宋" w:hAnsi="仿宋" w:eastAsia="仿宋" w:cs="仿宋"/>
          <w:color w:val="000000" w:themeColor="text1"/>
          <w:highlight w:val="none"/>
          <w14:textFill>
            <w14:solidFill>
              <w14:schemeClr w14:val="tx1"/>
            </w14:solidFill>
          </w14:textFill>
        </w:rPr>
      </w:pPr>
    </w:p>
    <w:p>
      <w:pPr>
        <w:adjustRightInd w:val="0"/>
        <w:snapToGrid w:val="0"/>
        <w:spacing w:line="300" w:lineRule="auto"/>
        <w:jc w:val="center"/>
        <w:rPr>
          <w:rFonts w:ascii="仿宋" w:hAnsi="仿宋" w:eastAsia="仿宋" w:cs="仿宋"/>
          <w:snapToGrid w:val="0"/>
          <w:color w:val="000000" w:themeColor="text1"/>
          <w:sz w:val="30"/>
          <w:szCs w:val="30"/>
          <w:highlight w:val="none"/>
          <w14:textFill>
            <w14:solidFill>
              <w14:schemeClr w14:val="tx1"/>
            </w14:solidFill>
          </w14:textFill>
        </w:rPr>
      </w:pPr>
      <w:r>
        <w:rPr>
          <w:rFonts w:hint="eastAsia" w:ascii="仿宋" w:hAnsi="仿宋" w:eastAsia="仿宋" w:cs="仿宋"/>
          <w:snapToGrid w:val="0"/>
          <w:color w:val="000000" w:themeColor="text1"/>
          <w:sz w:val="30"/>
          <w:szCs w:val="30"/>
          <w:highlight w:val="none"/>
          <w14:textFill>
            <w14:solidFill>
              <w14:schemeClr w14:val="tx1"/>
            </w14:solidFill>
          </w14:textFill>
        </w:rPr>
        <w:t>项目编号：BS24010402</w:t>
      </w:r>
    </w:p>
    <w:p>
      <w:pPr>
        <w:adjustRightInd w:val="0"/>
        <w:snapToGrid w:val="0"/>
        <w:spacing w:line="300" w:lineRule="auto"/>
        <w:jc w:val="center"/>
        <w:rPr>
          <w:rFonts w:ascii="仿宋" w:hAnsi="仿宋" w:eastAsia="仿宋" w:cs="仿宋"/>
          <w:snapToGrid w:val="0"/>
          <w:color w:val="000000" w:themeColor="text1"/>
          <w:szCs w:val="21"/>
          <w:highlight w:val="none"/>
          <w14:textFill>
            <w14:solidFill>
              <w14:schemeClr w14:val="tx1"/>
            </w14:solidFill>
          </w14:textFill>
        </w:rPr>
      </w:pPr>
    </w:p>
    <w:p>
      <w:pPr>
        <w:adjustRightInd w:val="0"/>
        <w:snapToGrid w:val="0"/>
        <w:spacing w:line="300" w:lineRule="auto"/>
        <w:jc w:val="center"/>
        <w:rPr>
          <w:rFonts w:ascii="仿宋" w:hAnsi="仿宋" w:eastAsia="仿宋" w:cs="仿宋"/>
          <w:snapToGrid w:val="0"/>
          <w:color w:val="000000" w:themeColor="text1"/>
          <w:szCs w:val="21"/>
          <w:highlight w:val="none"/>
          <w14:textFill>
            <w14:solidFill>
              <w14:schemeClr w14:val="tx1"/>
            </w14:solidFill>
          </w14:textFill>
        </w:rPr>
      </w:pPr>
    </w:p>
    <w:p>
      <w:pPr>
        <w:adjustRightInd w:val="0"/>
        <w:snapToGrid w:val="0"/>
        <w:spacing w:line="300" w:lineRule="auto"/>
        <w:jc w:val="center"/>
        <w:rPr>
          <w:rFonts w:ascii="仿宋" w:hAnsi="仿宋" w:eastAsia="仿宋" w:cs="仿宋"/>
          <w:snapToGrid w:val="0"/>
          <w:color w:val="000000" w:themeColor="text1"/>
          <w:szCs w:val="21"/>
          <w:highlight w:val="none"/>
          <w14:textFill>
            <w14:solidFill>
              <w14:schemeClr w14:val="tx1"/>
            </w14:solidFill>
          </w14:textFill>
        </w:rPr>
      </w:pPr>
    </w:p>
    <w:p>
      <w:pPr>
        <w:adjustRightInd w:val="0"/>
        <w:snapToGrid w:val="0"/>
        <w:spacing w:line="300" w:lineRule="auto"/>
        <w:jc w:val="center"/>
        <w:rPr>
          <w:rFonts w:ascii="仿宋" w:hAnsi="仿宋" w:eastAsia="仿宋" w:cs="仿宋"/>
          <w:snapToGrid w:val="0"/>
          <w:color w:val="000000" w:themeColor="text1"/>
          <w:szCs w:val="21"/>
          <w:highlight w:val="none"/>
          <w14:textFill>
            <w14:solidFill>
              <w14:schemeClr w14:val="tx1"/>
            </w14:solidFill>
          </w14:textFill>
        </w:rPr>
      </w:pPr>
    </w:p>
    <w:p>
      <w:pPr>
        <w:adjustRightInd w:val="0"/>
        <w:snapToGrid w:val="0"/>
        <w:spacing w:line="300" w:lineRule="auto"/>
        <w:rPr>
          <w:rFonts w:ascii="仿宋" w:hAnsi="仿宋" w:eastAsia="仿宋" w:cs="仿宋"/>
          <w:snapToGrid w:val="0"/>
          <w:color w:val="000000" w:themeColor="text1"/>
          <w:szCs w:val="21"/>
          <w:highlight w:val="none"/>
          <w:u w:val="single"/>
          <w14:textFill>
            <w14:solidFill>
              <w14:schemeClr w14:val="tx1"/>
            </w14:solidFill>
          </w14:textFill>
        </w:rPr>
      </w:pPr>
    </w:p>
    <w:p>
      <w:pPr>
        <w:adjustRightInd w:val="0"/>
        <w:snapToGrid w:val="0"/>
        <w:spacing w:line="300" w:lineRule="auto"/>
        <w:rPr>
          <w:rFonts w:ascii="仿宋" w:hAnsi="仿宋" w:eastAsia="仿宋" w:cs="仿宋"/>
          <w:snapToGrid w:val="0"/>
          <w:color w:val="000000" w:themeColor="text1"/>
          <w:szCs w:val="21"/>
          <w:highlight w:val="none"/>
          <w:u w:val="single"/>
          <w14:textFill>
            <w14:solidFill>
              <w14:schemeClr w14:val="tx1"/>
            </w14:solidFill>
          </w14:textFill>
        </w:rPr>
      </w:pPr>
      <w:bookmarkStart w:id="9" w:name="_GoBack"/>
      <w:bookmarkEnd w:id="9"/>
    </w:p>
    <w:p>
      <w:pPr>
        <w:pStyle w:val="19"/>
        <w:rPr>
          <w:rFonts w:ascii="仿宋" w:hAnsi="仿宋" w:eastAsia="仿宋" w:cs="仿宋"/>
          <w:highlight w:val="none"/>
          <w:lang w:val="en-US"/>
        </w:rPr>
      </w:pPr>
    </w:p>
    <w:p>
      <w:pPr>
        <w:pStyle w:val="19"/>
        <w:rPr>
          <w:rFonts w:ascii="仿宋" w:hAnsi="仿宋" w:eastAsia="仿宋" w:cs="仿宋"/>
          <w:highlight w:val="none"/>
          <w:lang w:val="en-US"/>
        </w:rPr>
      </w:pPr>
    </w:p>
    <w:p>
      <w:pPr>
        <w:pStyle w:val="19"/>
        <w:rPr>
          <w:rFonts w:ascii="仿宋" w:hAnsi="仿宋" w:eastAsia="仿宋" w:cs="仿宋"/>
          <w:highlight w:val="none"/>
          <w:lang w:val="en-US"/>
        </w:rPr>
      </w:pPr>
    </w:p>
    <w:p>
      <w:pPr>
        <w:ind w:right="25" w:rightChars="12"/>
        <w:jc w:val="center"/>
        <w:rPr>
          <w:rFonts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南昌职业大学</w:t>
      </w:r>
    </w:p>
    <w:p>
      <w:pPr>
        <w:ind w:right="25" w:rightChars="12"/>
        <w:jc w:val="center"/>
        <w:rPr>
          <w:rFonts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2024年1月4日</w:t>
      </w:r>
    </w:p>
    <w:p>
      <w:pPr>
        <w:jc w:val="center"/>
        <w:rPr>
          <w:rFonts w:ascii="仿宋" w:hAnsi="仿宋" w:eastAsia="仿宋" w:cs="仿宋"/>
          <w:b/>
          <w:color w:val="000000" w:themeColor="text1"/>
          <w:sz w:val="36"/>
          <w:szCs w:val="36"/>
          <w:highlight w:val="none"/>
          <w14:textFill>
            <w14:solidFill>
              <w14:schemeClr w14:val="tx1"/>
            </w14:solidFill>
          </w14:textFill>
        </w:rPr>
      </w:pPr>
    </w:p>
    <w:p>
      <w:pPr>
        <w:jc w:val="center"/>
        <w:rPr>
          <w:rFonts w:ascii="仿宋" w:hAnsi="仿宋" w:eastAsia="仿宋" w:cs="仿宋"/>
          <w:b/>
          <w:color w:val="000000" w:themeColor="text1"/>
          <w:sz w:val="36"/>
          <w:szCs w:val="36"/>
          <w:highlight w:val="none"/>
          <w14:textFill>
            <w14:solidFill>
              <w14:schemeClr w14:val="tx1"/>
            </w14:solidFill>
          </w14:textFill>
        </w:rPr>
      </w:pPr>
    </w:p>
    <w:p>
      <w:pPr>
        <w:jc w:val="center"/>
        <w:rPr>
          <w:rFonts w:ascii="仿宋" w:hAnsi="仿宋" w:eastAsia="仿宋" w:cs="仿宋"/>
          <w:b/>
          <w:color w:val="000000" w:themeColor="text1"/>
          <w:sz w:val="36"/>
          <w:szCs w:val="36"/>
          <w:highlight w:val="none"/>
          <w14:textFill>
            <w14:solidFill>
              <w14:schemeClr w14:val="tx1"/>
            </w14:solidFill>
          </w14:textFill>
        </w:rPr>
      </w:pPr>
    </w:p>
    <w:p>
      <w:pPr>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br w:type="page"/>
      </w:r>
    </w:p>
    <w:p>
      <w:pPr>
        <w:jc w:val="center"/>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目录</w:t>
      </w:r>
    </w:p>
    <w:p>
      <w:pPr>
        <w:ind w:right="2436" w:rightChars="1160"/>
        <w:jc w:val="center"/>
        <w:rPr>
          <w:rFonts w:ascii="仿宋" w:hAnsi="仿宋" w:eastAsia="仿宋" w:cs="仿宋"/>
          <w:b/>
          <w:color w:val="000000" w:themeColor="text1"/>
          <w:szCs w:val="21"/>
          <w:highlight w:val="none"/>
          <w14:textFill>
            <w14:solidFill>
              <w14:schemeClr w14:val="tx1"/>
            </w14:solidFill>
          </w14:textFill>
        </w:rPr>
      </w:pPr>
    </w:p>
    <w:p>
      <w:pPr>
        <w:ind w:right="2436" w:rightChars="1160"/>
        <w:jc w:val="center"/>
        <w:rPr>
          <w:rFonts w:ascii="仿宋" w:hAnsi="仿宋" w:eastAsia="仿宋" w:cs="仿宋"/>
          <w:b/>
          <w:color w:val="000000" w:themeColor="text1"/>
          <w:szCs w:val="21"/>
          <w:highlight w:val="none"/>
          <w14:textFill>
            <w14:solidFill>
              <w14:schemeClr w14:val="tx1"/>
            </w14:solidFill>
          </w14:textFill>
        </w:rPr>
      </w:pPr>
    </w:p>
    <w:p>
      <w:pPr>
        <w:jc w:val="center"/>
        <w:rPr>
          <w:rFonts w:ascii="仿宋" w:hAnsi="仿宋" w:eastAsia="仿宋" w:cs="仿宋"/>
          <w:color w:val="000000" w:themeColor="text1"/>
          <w:sz w:val="28"/>
          <w:highlight w:val="none"/>
          <w14:textFill>
            <w14:solidFill>
              <w14:schemeClr w14:val="tx1"/>
            </w14:solidFill>
          </w14:textFill>
        </w:rPr>
      </w:pPr>
    </w:p>
    <w:p>
      <w:pPr>
        <w:spacing w:line="680" w:lineRule="exact"/>
        <w:rPr>
          <w:rFonts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第一章投标须知  ……………………………………………… 3</w:t>
      </w:r>
    </w:p>
    <w:p>
      <w:pPr>
        <w:spacing w:line="680" w:lineRule="exact"/>
        <w:rPr>
          <w:rFonts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第二章项目采购需求…………………………………………… 17</w:t>
      </w:r>
    </w:p>
    <w:p>
      <w:pPr>
        <w:spacing w:line="680" w:lineRule="exact"/>
        <w:rPr>
          <w:rFonts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第三章投标文件样式…………………………………………… 34</w:t>
      </w:r>
    </w:p>
    <w:p>
      <w:pPr>
        <w:rPr>
          <w:rFonts w:ascii="仿宋" w:hAnsi="仿宋" w:eastAsia="仿宋" w:cs="仿宋"/>
          <w:color w:val="000000" w:themeColor="text1"/>
          <w:sz w:val="28"/>
          <w:highlight w:val="none"/>
          <w14:textFill>
            <w14:solidFill>
              <w14:schemeClr w14:val="tx1"/>
            </w14:solidFill>
          </w14:textFill>
        </w:rPr>
      </w:pPr>
    </w:p>
    <w:p>
      <w:pPr>
        <w:rPr>
          <w:rFonts w:ascii="仿宋" w:hAnsi="仿宋" w:eastAsia="仿宋" w:cs="仿宋"/>
          <w:color w:val="000000" w:themeColor="text1"/>
          <w:highlight w:val="none"/>
          <w14:textFill>
            <w14:solidFill>
              <w14:schemeClr w14:val="tx1"/>
            </w14:solidFill>
          </w14:textFill>
        </w:rPr>
      </w:pPr>
    </w:p>
    <w:p>
      <w:pPr>
        <w:rPr>
          <w:rFonts w:ascii="仿宋" w:hAnsi="仿宋" w:eastAsia="仿宋" w:cs="仿宋"/>
          <w:color w:val="000000" w:themeColor="text1"/>
          <w:sz w:val="36"/>
          <w:szCs w:val="36"/>
          <w:highlight w:val="none"/>
          <w14:textFill>
            <w14:solidFill>
              <w14:schemeClr w14:val="tx1"/>
            </w14:solidFill>
          </w14:textFill>
        </w:rPr>
      </w:pPr>
      <w:r>
        <w:rPr>
          <w:rFonts w:hint="eastAsia" w:ascii="仿宋" w:hAnsi="仿宋" w:eastAsia="仿宋" w:cs="仿宋"/>
          <w:color w:val="000000" w:themeColor="text1"/>
          <w:sz w:val="36"/>
          <w:szCs w:val="36"/>
          <w:highlight w:val="none"/>
          <w14:textFill>
            <w14:solidFill>
              <w14:schemeClr w14:val="tx1"/>
            </w14:solidFill>
          </w14:textFill>
        </w:rPr>
        <w:br w:type="page"/>
      </w:r>
    </w:p>
    <w:p>
      <w:pPr>
        <w:pStyle w:val="4"/>
        <w:jc w:val="center"/>
        <w:rPr>
          <w:rFonts w:ascii="仿宋" w:hAnsi="仿宋" w:cs="仿宋"/>
          <w:highlight w:val="none"/>
        </w:rPr>
      </w:pPr>
      <w:r>
        <w:rPr>
          <w:rFonts w:hint="eastAsia" w:ascii="仿宋" w:hAnsi="仿宋" w:cs="仿宋"/>
          <w:highlight w:val="none"/>
        </w:rPr>
        <w:t>第一章投标须知</w:t>
      </w:r>
    </w:p>
    <w:p>
      <w:pPr>
        <w:spacing w:line="36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p>
    <w:p>
      <w:pPr>
        <w:pStyle w:val="5"/>
        <w:rPr>
          <w:rFonts w:ascii="仿宋" w:hAnsi="仿宋" w:cs="仿宋"/>
          <w:highlight w:val="none"/>
        </w:rPr>
      </w:pPr>
      <w:r>
        <w:rPr>
          <w:rFonts w:hint="eastAsia" w:ascii="仿宋" w:hAnsi="仿宋" w:cs="仿宋"/>
          <w:highlight w:val="none"/>
        </w:rPr>
        <w:t>一、招标项目</w:t>
      </w:r>
    </w:p>
    <w:p>
      <w:pPr>
        <w:widowControl/>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项目名称：</w:t>
      </w:r>
      <w:r>
        <w:rPr>
          <w:rFonts w:hint="eastAsia" w:ascii="仿宋" w:hAnsi="仿宋" w:eastAsia="仿宋" w:cs="仿宋"/>
          <w:sz w:val="28"/>
          <w:szCs w:val="28"/>
          <w:highlight w:val="none"/>
        </w:rPr>
        <w:t>南昌职业大学合同节水管理服务项目采购</w:t>
      </w:r>
    </w:p>
    <w:tbl>
      <w:tblPr>
        <w:tblStyle w:val="15"/>
        <w:tblW w:w="9405"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3"/>
        <w:gridCol w:w="1732"/>
        <w:gridCol w:w="2025"/>
        <w:gridCol w:w="1151"/>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3" w:type="dxa"/>
          </w:tcPr>
          <w:p>
            <w:pPr>
              <w:tabs>
                <w:tab w:val="left" w:pos="945"/>
              </w:tabs>
              <w:spacing w:line="44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采购内容</w:t>
            </w:r>
          </w:p>
        </w:tc>
        <w:tc>
          <w:tcPr>
            <w:tcW w:w="1732" w:type="dxa"/>
          </w:tcPr>
          <w:p>
            <w:pPr>
              <w:tabs>
                <w:tab w:val="left" w:pos="945"/>
              </w:tabs>
              <w:spacing w:line="44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预算金额（元）</w:t>
            </w:r>
          </w:p>
        </w:tc>
        <w:tc>
          <w:tcPr>
            <w:tcW w:w="2025" w:type="dxa"/>
          </w:tcPr>
          <w:p>
            <w:pPr>
              <w:tabs>
                <w:tab w:val="left" w:pos="945"/>
              </w:tabs>
              <w:spacing w:line="44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实施地点</w:t>
            </w:r>
          </w:p>
        </w:tc>
        <w:tc>
          <w:tcPr>
            <w:tcW w:w="1151" w:type="dxa"/>
          </w:tcPr>
          <w:p>
            <w:pPr>
              <w:tabs>
                <w:tab w:val="left" w:pos="945"/>
              </w:tabs>
              <w:spacing w:line="44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合同</w:t>
            </w:r>
          </w:p>
          <w:p>
            <w:pPr>
              <w:tabs>
                <w:tab w:val="left" w:pos="945"/>
              </w:tabs>
              <w:spacing w:line="44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期限</w:t>
            </w:r>
          </w:p>
        </w:tc>
        <w:tc>
          <w:tcPr>
            <w:tcW w:w="2194" w:type="dxa"/>
          </w:tcPr>
          <w:p>
            <w:pPr>
              <w:tabs>
                <w:tab w:val="left" w:pos="945"/>
              </w:tabs>
              <w:spacing w:line="44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服务标准要求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2303" w:type="dxa"/>
          </w:tcPr>
          <w:p>
            <w:pPr>
              <w:widowControl/>
              <w:spacing w:line="44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合同节水管理服务项目采购</w:t>
            </w:r>
          </w:p>
        </w:tc>
        <w:tc>
          <w:tcPr>
            <w:tcW w:w="1732" w:type="dxa"/>
          </w:tcPr>
          <w:p>
            <w:pPr>
              <w:tabs>
                <w:tab w:val="left" w:pos="945"/>
              </w:tabs>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0万元</w:t>
            </w:r>
          </w:p>
        </w:tc>
        <w:tc>
          <w:tcPr>
            <w:tcW w:w="2025" w:type="dxa"/>
          </w:tcPr>
          <w:p>
            <w:pPr>
              <w:tabs>
                <w:tab w:val="left" w:pos="945"/>
              </w:tabs>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南昌职业大学</w:t>
            </w:r>
          </w:p>
        </w:tc>
        <w:tc>
          <w:tcPr>
            <w:tcW w:w="1151" w:type="dxa"/>
          </w:tcPr>
          <w:p>
            <w:pPr>
              <w:tabs>
                <w:tab w:val="left" w:pos="945"/>
              </w:tabs>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1</w:t>
            </w:r>
            <w:r>
              <w:rPr>
                <w:rFonts w:ascii="仿宋" w:hAnsi="仿宋" w:eastAsia="仿宋" w:cs="仿宋"/>
                <w:sz w:val="28"/>
                <w:szCs w:val="28"/>
                <w:highlight w:val="none"/>
              </w:rPr>
              <w:t>2</w:t>
            </w:r>
            <w:r>
              <w:rPr>
                <w:rFonts w:hint="eastAsia" w:ascii="仿宋" w:hAnsi="仿宋" w:eastAsia="仿宋" w:cs="仿宋"/>
                <w:sz w:val="28"/>
                <w:szCs w:val="28"/>
                <w:highlight w:val="none"/>
              </w:rPr>
              <w:t>年</w:t>
            </w:r>
          </w:p>
        </w:tc>
        <w:tc>
          <w:tcPr>
            <w:tcW w:w="2194" w:type="dxa"/>
          </w:tcPr>
          <w:p>
            <w:pPr>
              <w:tabs>
                <w:tab w:val="left" w:pos="945"/>
              </w:tabs>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符合国家标准和招标文件相关要求；</w:t>
            </w:r>
          </w:p>
        </w:tc>
      </w:tr>
    </w:tbl>
    <w:p>
      <w:pPr>
        <w:widowControl/>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具体要求见第二章。</w:t>
      </w:r>
    </w:p>
    <w:p>
      <w:pPr>
        <w:pStyle w:val="5"/>
        <w:rPr>
          <w:rFonts w:ascii="仿宋" w:hAnsi="仿宋" w:cs="仿宋"/>
          <w:highlight w:val="none"/>
        </w:rPr>
      </w:pPr>
      <w:r>
        <w:rPr>
          <w:rFonts w:hint="eastAsia" w:ascii="仿宋" w:hAnsi="仿宋" w:cs="仿宋"/>
          <w:highlight w:val="none"/>
        </w:rPr>
        <w:t>二、投标人的资格条件</w:t>
      </w:r>
    </w:p>
    <w:p>
      <w:pPr>
        <w:widowControl/>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参加本次招标活动的投标人除应当符合《中华人民共和国政府采购法》第二十二条的规定外，还必须具备以下条件：</w:t>
      </w:r>
    </w:p>
    <w:p>
      <w:pPr>
        <w:widowControl/>
        <w:spacing w:line="440" w:lineRule="exact"/>
        <w:ind w:firstLine="560" w:firstLineChars="200"/>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1.经国家行政主管部门批准注册的企业法人；</w:t>
      </w:r>
    </w:p>
    <w:p>
      <w:pPr>
        <w:widowControl/>
        <w:spacing w:line="440" w:lineRule="exact"/>
        <w:ind w:firstLine="560" w:firstLineChars="200"/>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w:t>
      </w:r>
      <w:r>
        <w:rPr>
          <w:rFonts w:hint="eastAsia" w:ascii="仿宋" w:hAnsi="仿宋" w:eastAsia="仿宋" w:cs="仿宋"/>
          <w:sz w:val="28"/>
          <w:szCs w:val="28"/>
          <w:highlight w:val="none"/>
        </w:rPr>
        <w:t>投标人应具有电子与智能化工程专业承包贰级及以上资质（在有效期内）</w:t>
      </w:r>
    </w:p>
    <w:p>
      <w:pPr>
        <w:widowControl/>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hint="eastAsia" w:ascii="仿宋" w:hAnsi="仿宋" w:eastAsia="仿宋" w:cs="仿宋"/>
          <w:sz w:val="28"/>
          <w:szCs w:val="28"/>
          <w:highlight w:val="none"/>
        </w:rPr>
        <w:t>投标人需具有安全生产许可证（在有效期内）；</w:t>
      </w:r>
    </w:p>
    <w:p>
      <w:pPr>
        <w:widowControl/>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4.具有良好的经营行为和经营业绩，近三年在招投标活动中无不良记录；</w:t>
      </w:r>
    </w:p>
    <w:p>
      <w:pPr>
        <w:widowControl/>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5.具备履行合同所必需的设备和专业技术能力；</w:t>
      </w:r>
    </w:p>
    <w:p>
      <w:pPr>
        <w:widowControl/>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6.本次招标不接受联合体投标人参加投标。不得转包分包。</w:t>
      </w:r>
    </w:p>
    <w:p>
      <w:pPr>
        <w:widowControl/>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7.拒绝下述条件的投标人参加本次采购活动：</w:t>
      </w:r>
    </w:p>
    <w:p>
      <w:pPr>
        <w:widowControl/>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7.1投标人单位负责人为同一人或者存在直接控股、管理关系的不同投标人，不得同时参加同一合同项下的政府采购活动。</w:t>
      </w:r>
    </w:p>
    <w:p>
      <w:pPr>
        <w:widowControl/>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7.2凡为采购项目提供整体设计、规范编制或者项目管理、监理、检测等服务的投标人，不得再参加本项目的采购活动。</w:t>
      </w:r>
    </w:p>
    <w:p>
      <w:pPr>
        <w:widowControl/>
        <w:spacing w:line="440" w:lineRule="exact"/>
        <w:ind w:firstLine="560" w:firstLineChars="200"/>
        <w:rPr>
          <w:rFonts w:ascii="仿宋" w:hAnsi="仿宋" w:eastAsia="仿宋" w:cs="仿宋"/>
          <w:color w:val="000000" w:themeColor="text1"/>
          <w:spacing w:val="15"/>
          <w:kern w:val="0"/>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7.3近三年内（本项目招标截止期前）投标人被“信用中国”网站（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www.creditchina.gov.cn</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t>）列入失信被执行人和重大税收违法案件当事人名单的、被“中国政府采购网”网站（</w:t>
      </w:r>
      <w:r>
        <w:rPr>
          <w:highlight w:val="none"/>
        </w:rPr>
        <w:fldChar w:fldCharType="begin"/>
      </w:r>
      <w:r>
        <w:rPr>
          <w:highlight w:val="none"/>
        </w:rPr>
        <w:instrText xml:space="preserve"> HYPERLINK "http://www.ccgp.gov.cn" </w:instrText>
      </w:r>
      <w:r>
        <w:rPr>
          <w:highlight w:val="none"/>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www.ccgp.gov.cn</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t>）列入</w:t>
      </w:r>
      <w:r>
        <w:rPr>
          <w:rFonts w:hint="eastAsia" w:ascii="仿宋" w:hAnsi="仿宋" w:eastAsia="仿宋" w:cs="仿宋"/>
          <w:color w:val="000000" w:themeColor="text1"/>
          <w:spacing w:val="15"/>
          <w:kern w:val="0"/>
          <w:sz w:val="28"/>
          <w:szCs w:val="28"/>
          <w:highlight w:val="none"/>
          <w14:textFill>
            <w14:solidFill>
              <w14:schemeClr w14:val="tx1"/>
            </w14:solidFill>
          </w14:textFill>
        </w:rPr>
        <w:t>政府采购严重违法失信行为记录名单（处罚期限尚未届满的），不得参与本项目。</w:t>
      </w:r>
    </w:p>
    <w:p>
      <w:pPr>
        <w:pStyle w:val="5"/>
        <w:rPr>
          <w:rFonts w:ascii="仿宋" w:hAnsi="仿宋" w:cs="仿宋"/>
          <w:highlight w:val="none"/>
        </w:rPr>
      </w:pPr>
      <w:r>
        <w:rPr>
          <w:rFonts w:hint="eastAsia" w:ascii="仿宋" w:hAnsi="仿宋" w:cs="仿宋"/>
          <w:highlight w:val="none"/>
        </w:rPr>
        <w:t>三、投标人资格审查方式</w:t>
      </w:r>
    </w:p>
    <w:p>
      <w:pPr>
        <w:widowControl/>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资格后审，开标时进行投标资格审核。若中标后发现资格不符合要求，则取消中标资格，涉嫌提供虚假材料的将处以取消中标资格并列入学校采购不诚信企业名单，两年内不得参与学校所有采购项目。</w:t>
      </w:r>
    </w:p>
    <w:p>
      <w:pPr>
        <w:pStyle w:val="5"/>
        <w:rPr>
          <w:rFonts w:ascii="仿宋" w:hAnsi="仿宋" w:cs="仿宋"/>
          <w:highlight w:val="none"/>
        </w:rPr>
      </w:pPr>
      <w:r>
        <w:rPr>
          <w:rFonts w:hint="eastAsia" w:ascii="仿宋" w:hAnsi="仿宋" w:cs="仿宋"/>
          <w:highlight w:val="none"/>
        </w:rPr>
        <w:t>四、招标文件</w:t>
      </w:r>
    </w:p>
    <w:p>
      <w:pPr>
        <w:widowControl/>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1.招标文件发布</w:t>
      </w:r>
    </w:p>
    <w:p>
      <w:pPr>
        <w:widowControl/>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2.招标文件澄清</w:t>
      </w:r>
    </w:p>
    <w:p>
      <w:pPr>
        <w:widowControl/>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任何要求对招标文件进行澄清的投标人，均应在投标截止时间5日前以书面形式通知采购人，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pPr>
        <w:widowControl/>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3.招标文件变更</w:t>
      </w:r>
    </w:p>
    <w:p>
      <w:pPr>
        <w:widowControl/>
        <w:spacing w:line="440" w:lineRule="exact"/>
        <w:ind w:firstLine="560" w:firstLineChars="200"/>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在投标截止时间7日前，采购人可主动或在解答投标人提出的澄清问题时对招标文件用更正（变更、补充）公告的方式进行修正（在原招标公告发布</w:t>
      </w:r>
      <w:r>
        <w:rPr>
          <w:rFonts w:hint="eastAsia" w:ascii="仿宋" w:hAnsi="仿宋" w:eastAsia="仿宋" w:cs="仿宋"/>
          <w:color w:val="000000" w:themeColor="text1"/>
          <w:kern w:val="0"/>
          <w:sz w:val="28"/>
          <w:szCs w:val="28"/>
          <w:highlight w:val="none"/>
          <w14:textFill>
            <w14:solidFill>
              <w14:schemeClr w14:val="tx1"/>
            </w14:solidFill>
          </w14:textFill>
        </w:rPr>
        <w:t>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pPr>
        <w:pStyle w:val="5"/>
        <w:rPr>
          <w:rFonts w:ascii="仿宋" w:hAnsi="仿宋" w:cs="仿宋"/>
          <w:highlight w:val="none"/>
        </w:rPr>
      </w:pPr>
      <w:r>
        <w:rPr>
          <w:rFonts w:hint="eastAsia" w:ascii="仿宋" w:hAnsi="仿宋" w:cs="仿宋"/>
          <w:highlight w:val="none"/>
        </w:rPr>
        <w:t>五、现场勘察</w:t>
      </w:r>
    </w:p>
    <w:p>
      <w:pPr>
        <w:pStyle w:val="12"/>
        <w:shd w:val="clear" w:color="auto" w:fill="FFFFFF"/>
        <w:spacing w:before="0" w:beforeAutospacing="0" w:after="0" w:afterAutospacing="0" w:line="440" w:lineRule="exact"/>
        <w:ind w:firstLine="560" w:firstLineChars="200"/>
        <w:jc w:val="both"/>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为使供应商更好的了解本项目采购需求，需进行现场勘察，</w:t>
      </w:r>
      <w:r>
        <w:rPr>
          <w:rFonts w:hint="eastAsia" w:ascii="仿宋" w:hAnsi="仿宋" w:eastAsia="仿宋" w:cs="仿宋"/>
          <w:color w:val="auto"/>
          <w:sz w:val="28"/>
          <w:szCs w:val="28"/>
          <w:highlight w:val="none"/>
        </w:rPr>
        <w:t>定于2024年1月6日9:30进行</w:t>
      </w:r>
      <w:r>
        <w:rPr>
          <w:rFonts w:hint="eastAsia" w:ascii="仿宋" w:hAnsi="仿宋" w:eastAsia="仿宋" w:cs="仿宋"/>
          <w:color w:val="auto"/>
          <w:sz w:val="28"/>
          <w:szCs w:val="28"/>
          <w:highlight w:val="none"/>
        </w:rPr>
        <w:t>，每单位指派一名代表，进行现场勘察，须服从学校管理，并需提前一天预约,并提交现场踏勘确认函，带至勘察现场，并按要求在投标文件中提供现场踏勘确认函回执，否则视为无效投标。（现场踏勘确认函见附件1）</w:t>
      </w:r>
    </w:p>
    <w:p>
      <w:pPr>
        <w:pStyle w:val="12"/>
        <w:shd w:val="clear" w:color="auto" w:fill="FFFFFF"/>
        <w:spacing w:before="0" w:beforeAutospacing="0" w:after="0" w:afterAutospacing="0" w:line="440" w:lineRule="exact"/>
        <w:jc w:val="both"/>
        <w:rPr>
          <w:rFonts w:ascii="仿宋" w:hAnsi="仿宋" w:eastAsia="仿宋" w:cs="仿宋"/>
          <w:sz w:val="28"/>
          <w:szCs w:val="28"/>
          <w:highlight w:val="none"/>
        </w:rPr>
      </w:pPr>
      <w:r>
        <w:rPr>
          <w:rFonts w:hint="eastAsia" w:ascii="仿宋" w:hAnsi="仿宋" w:eastAsia="仿宋" w:cs="仿宋"/>
          <w:color w:val="auto"/>
          <w:sz w:val="28"/>
          <w:szCs w:val="28"/>
          <w:highlight w:val="none"/>
        </w:rPr>
        <w:t>联系人与电话：刘老师18779872542</w:t>
      </w:r>
    </w:p>
    <w:p>
      <w:pPr>
        <w:pStyle w:val="12"/>
        <w:shd w:val="clear" w:color="auto" w:fill="FFFFFF"/>
        <w:spacing w:before="0" w:beforeAutospacing="0" w:after="0" w:afterAutospacing="0" w:line="440" w:lineRule="exact"/>
        <w:jc w:val="both"/>
        <w:rPr>
          <w:rFonts w:ascii="仿宋" w:hAnsi="仿宋" w:eastAsia="仿宋" w:cs="仿宋"/>
          <w:sz w:val="28"/>
          <w:szCs w:val="28"/>
          <w:highlight w:val="none"/>
        </w:rPr>
      </w:pPr>
      <w:r>
        <w:rPr>
          <w:rFonts w:hint="eastAsia" w:ascii="仿宋" w:hAnsi="仿宋" w:eastAsia="仿宋" w:cs="仿宋"/>
          <w:sz w:val="28"/>
          <w:szCs w:val="28"/>
          <w:highlight w:val="none"/>
        </w:rPr>
        <w:t>踏勘地点：江西省南昌市安义县前进东路8号南昌职业大学。</w:t>
      </w:r>
    </w:p>
    <w:p>
      <w:pPr>
        <w:widowControl/>
        <w:jc w:val="left"/>
        <w:rPr>
          <w:rFonts w:ascii="仿宋" w:hAnsi="仿宋" w:eastAsia="仿宋" w:cs="仿宋"/>
          <w:color w:val="000000"/>
          <w:kern w:val="0"/>
          <w:sz w:val="28"/>
          <w:szCs w:val="28"/>
          <w:highlight w:val="none"/>
        </w:rPr>
      </w:pPr>
      <w:r>
        <w:rPr>
          <w:rFonts w:ascii="仿宋" w:hAnsi="仿宋" w:eastAsia="仿宋" w:cs="仿宋"/>
          <w:sz w:val="28"/>
          <w:szCs w:val="28"/>
          <w:highlight w:val="none"/>
        </w:rPr>
        <w:br w:type="page"/>
      </w:r>
    </w:p>
    <w:p>
      <w:pPr>
        <w:adjustRightInd w:val="0"/>
        <w:snapToGrid w:val="0"/>
        <w:spacing w:line="360" w:lineRule="auto"/>
        <w:ind w:firstLine="480" w:firstLineChars="200"/>
        <w:outlineLvl w:val="2"/>
        <w:rPr>
          <w:rFonts w:ascii="仿宋" w:hAnsi="仿宋" w:eastAsia="仿宋" w:cstheme="minorEastAsia"/>
          <w:sz w:val="24"/>
          <w:szCs w:val="24"/>
          <w:highlight w:val="none"/>
        </w:rPr>
      </w:pPr>
      <w:r>
        <w:rPr>
          <w:rFonts w:hint="eastAsia" w:ascii="仿宋" w:hAnsi="仿宋" w:eastAsia="仿宋" w:cstheme="minorEastAsia"/>
          <w:sz w:val="24"/>
          <w:szCs w:val="24"/>
          <w:highlight w:val="none"/>
        </w:rPr>
        <w:t>附件1：现场踏勘确认函</w:t>
      </w:r>
    </w:p>
    <w:p>
      <w:pPr>
        <w:pStyle w:val="8"/>
        <w:kinsoku w:val="0"/>
        <w:overflowPunct w:val="0"/>
        <w:spacing w:after="0" w:line="276" w:lineRule="auto"/>
        <w:jc w:val="center"/>
        <w:rPr>
          <w:rFonts w:ascii="仿宋" w:hAnsi="仿宋" w:eastAsia="仿宋"/>
          <w:b/>
          <w:bCs/>
          <w:w w:val="95"/>
          <w:sz w:val="24"/>
          <w:szCs w:val="24"/>
          <w:highlight w:val="none"/>
        </w:rPr>
      </w:pPr>
      <w:r>
        <w:rPr>
          <w:rFonts w:hint="eastAsia" w:ascii="仿宋" w:hAnsi="仿宋" w:eastAsia="仿宋"/>
          <w:b/>
          <w:bCs/>
          <w:w w:val="95"/>
          <w:sz w:val="24"/>
          <w:szCs w:val="24"/>
          <w:highlight w:val="none"/>
        </w:rPr>
        <w:t>南昌职业大学合同节水管理项目</w:t>
      </w:r>
    </w:p>
    <w:p>
      <w:pPr>
        <w:pStyle w:val="8"/>
        <w:kinsoku w:val="0"/>
        <w:overflowPunct w:val="0"/>
        <w:spacing w:after="0" w:line="276" w:lineRule="auto"/>
        <w:jc w:val="center"/>
        <w:rPr>
          <w:rFonts w:ascii="仿宋" w:hAnsi="仿宋" w:eastAsia="仿宋"/>
          <w:b/>
          <w:bCs/>
          <w:w w:val="95"/>
          <w:sz w:val="24"/>
          <w:szCs w:val="24"/>
          <w:highlight w:val="none"/>
        </w:rPr>
      </w:pPr>
      <w:r>
        <w:rPr>
          <w:rFonts w:hint="eastAsia" w:ascii="仿宋" w:hAnsi="仿宋" w:eastAsia="仿宋"/>
          <w:b/>
          <w:bCs/>
          <w:w w:val="95"/>
          <w:sz w:val="24"/>
          <w:szCs w:val="24"/>
          <w:highlight w:val="none"/>
        </w:rPr>
        <w:t>投标人参与现场踏勘确认函</w:t>
      </w:r>
    </w:p>
    <w:tbl>
      <w:tblPr>
        <w:tblStyle w:val="14"/>
        <w:tblW w:w="5000" w:type="pct"/>
        <w:tblInd w:w="-5" w:type="dxa"/>
        <w:tblLayout w:type="autofit"/>
        <w:tblCellMar>
          <w:top w:w="0" w:type="dxa"/>
          <w:left w:w="0" w:type="dxa"/>
          <w:bottom w:w="0" w:type="dxa"/>
          <w:right w:w="0" w:type="dxa"/>
        </w:tblCellMar>
      </w:tblPr>
      <w:tblGrid>
        <w:gridCol w:w="2185"/>
        <w:gridCol w:w="2749"/>
        <w:gridCol w:w="2561"/>
        <w:gridCol w:w="821"/>
      </w:tblGrid>
      <w:tr>
        <w:tblPrEx>
          <w:tblCellMar>
            <w:top w:w="0" w:type="dxa"/>
            <w:left w:w="0" w:type="dxa"/>
            <w:bottom w:w="0" w:type="dxa"/>
            <w:right w:w="0" w:type="dxa"/>
          </w:tblCellMar>
        </w:tblPrEx>
        <w:trPr>
          <w:trHeight w:val="624" w:hRule="atLeast"/>
        </w:trPr>
        <w:tc>
          <w:tcPr>
            <w:tcW w:w="1314" w:type="pct"/>
            <w:tcBorders>
              <w:top w:val="single" w:color="000000" w:sz="4" w:space="0"/>
              <w:left w:val="single" w:color="000000" w:sz="4" w:space="0"/>
              <w:bottom w:val="single" w:color="000000" w:sz="4" w:space="0"/>
              <w:right w:val="single" w:color="000000" w:sz="4" w:space="0"/>
            </w:tcBorders>
            <w:vAlign w:val="center"/>
          </w:tcPr>
          <w:p>
            <w:pPr>
              <w:pStyle w:val="24"/>
              <w:kinsoku w:val="0"/>
              <w:overflowPunct w:val="0"/>
              <w:adjustRightInd w:val="0"/>
              <w:snapToGrid w:val="0"/>
              <w:spacing w:before="86"/>
              <w:ind w:left="277" w:right="271"/>
              <w:jc w:val="center"/>
              <w:rPr>
                <w:rFonts w:ascii="仿宋" w:hAnsi="仿宋" w:eastAsia="仿宋"/>
                <w:sz w:val="24"/>
                <w:highlight w:val="none"/>
              </w:rPr>
            </w:pPr>
            <w:r>
              <w:rPr>
                <w:rFonts w:hint="eastAsia" w:ascii="仿宋" w:hAnsi="仿宋" w:eastAsia="仿宋"/>
                <w:sz w:val="24"/>
                <w:highlight w:val="none"/>
              </w:rPr>
              <w:t>招标项目名称</w:t>
            </w:r>
          </w:p>
        </w:tc>
        <w:tc>
          <w:tcPr>
            <w:tcW w:w="3192" w:type="pct"/>
            <w:gridSpan w:val="2"/>
            <w:tcBorders>
              <w:top w:val="single" w:color="000000" w:sz="4" w:space="0"/>
              <w:left w:val="single" w:color="000000" w:sz="4" w:space="0"/>
              <w:bottom w:val="single" w:color="000000" w:sz="4" w:space="0"/>
              <w:right w:val="single" w:color="000000" w:sz="4" w:space="0"/>
            </w:tcBorders>
            <w:vAlign w:val="center"/>
          </w:tcPr>
          <w:p>
            <w:pPr>
              <w:pStyle w:val="24"/>
              <w:kinsoku w:val="0"/>
              <w:overflowPunct w:val="0"/>
              <w:adjustRightInd w:val="0"/>
              <w:snapToGrid w:val="0"/>
              <w:jc w:val="center"/>
              <w:rPr>
                <w:rFonts w:ascii="仿宋" w:hAnsi="仿宋" w:eastAsia="仿宋" w:cs="Times New Roman"/>
                <w:sz w:val="24"/>
                <w:highlight w:val="none"/>
              </w:rPr>
            </w:pPr>
          </w:p>
        </w:tc>
        <w:tc>
          <w:tcPr>
            <w:tcW w:w="494" w:type="pct"/>
            <w:vMerge w:val="restart"/>
            <w:tcBorders>
              <w:top w:val="single" w:color="000000" w:sz="4" w:space="0"/>
              <w:left w:val="single" w:color="000000" w:sz="4" w:space="0"/>
              <w:bottom w:val="single" w:color="000000" w:sz="4" w:space="0"/>
              <w:right w:val="single" w:color="000000" w:sz="4" w:space="0"/>
            </w:tcBorders>
            <w:vAlign w:val="center"/>
          </w:tcPr>
          <w:p>
            <w:pPr>
              <w:pStyle w:val="24"/>
              <w:kinsoku w:val="0"/>
              <w:overflowPunct w:val="0"/>
              <w:adjustRightInd w:val="0"/>
              <w:snapToGrid w:val="0"/>
              <w:spacing w:before="24"/>
              <w:ind w:left="287" w:right="275"/>
              <w:jc w:val="center"/>
              <w:rPr>
                <w:rFonts w:ascii="仿宋" w:hAnsi="仿宋" w:eastAsia="仿宋"/>
                <w:sz w:val="24"/>
                <w:highlight w:val="none"/>
              </w:rPr>
            </w:pPr>
            <w:r>
              <w:rPr>
                <w:rFonts w:hint="eastAsia" w:ascii="仿宋" w:hAnsi="仿宋" w:eastAsia="仿宋"/>
                <w:sz w:val="24"/>
                <w:highlight w:val="none"/>
              </w:rPr>
              <w:t>第一联</w:t>
            </w:r>
          </w:p>
        </w:tc>
      </w:tr>
      <w:tr>
        <w:tblPrEx>
          <w:tblCellMar>
            <w:top w:w="0" w:type="dxa"/>
            <w:left w:w="0" w:type="dxa"/>
            <w:bottom w:w="0" w:type="dxa"/>
            <w:right w:w="0" w:type="dxa"/>
          </w:tblCellMar>
        </w:tblPrEx>
        <w:trPr>
          <w:trHeight w:val="624" w:hRule="atLeast"/>
        </w:trPr>
        <w:tc>
          <w:tcPr>
            <w:tcW w:w="1314" w:type="pct"/>
            <w:tcBorders>
              <w:top w:val="single" w:color="000000" w:sz="4" w:space="0"/>
              <w:left w:val="single" w:color="000000" w:sz="4" w:space="0"/>
              <w:bottom w:val="single" w:color="000000" w:sz="4" w:space="0"/>
              <w:right w:val="single" w:color="000000" w:sz="4" w:space="0"/>
            </w:tcBorders>
            <w:vAlign w:val="center"/>
          </w:tcPr>
          <w:p>
            <w:pPr>
              <w:pStyle w:val="24"/>
              <w:kinsoku w:val="0"/>
              <w:overflowPunct w:val="0"/>
              <w:adjustRightInd w:val="0"/>
              <w:snapToGrid w:val="0"/>
              <w:spacing w:before="86"/>
              <w:ind w:left="277" w:right="271"/>
              <w:jc w:val="center"/>
              <w:rPr>
                <w:rFonts w:ascii="仿宋" w:hAnsi="仿宋" w:eastAsia="仿宋"/>
                <w:sz w:val="24"/>
                <w:highlight w:val="none"/>
              </w:rPr>
            </w:pPr>
            <w:r>
              <w:rPr>
                <w:rFonts w:hint="eastAsia" w:ascii="仿宋" w:hAnsi="仿宋" w:eastAsia="仿宋"/>
                <w:sz w:val="24"/>
                <w:highlight w:val="none"/>
              </w:rPr>
              <w:t>招标项目编号</w:t>
            </w:r>
          </w:p>
        </w:tc>
        <w:tc>
          <w:tcPr>
            <w:tcW w:w="3192" w:type="pct"/>
            <w:gridSpan w:val="2"/>
            <w:tcBorders>
              <w:top w:val="single" w:color="000000" w:sz="4" w:space="0"/>
              <w:left w:val="single" w:color="000000" w:sz="4" w:space="0"/>
              <w:bottom w:val="single" w:color="000000" w:sz="4" w:space="0"/>
              <w:right w:val="single" w:color="000000" w:sz="4" w:space="0"/>
            </w:tcBorders>
            <w:vAlign w:val="center"/>
          </w:tcPr>
          <w:p>
            <w:pPr>
              <w:pStyle w:val="24"/>
              <w:kinsoku w:val="0"/>
              <w:overflowPunct w:val="0"/>
              <w:adjustRightInd w:val="0"/>
              <w:snapToGrid w:val="0"/>
              <w:jc w:val="center"/>
              <w:rPr>
                <w:rFonts w:ascii="仿宋" w:hAnsi="仿宋" w:eastAsia="仿宋" w:cs="Times New Roman"/>
                <w:sz w:val="24"/>
                <w:highlight w:val="none"/>
              </w:rPr>
            </w:pPr>
          </w:p>
        </w:tc>
        <w:tc>
          <w:tcPr>
            <w:tcW w:w="494" w:type="pct"/>
            <w:vMerge w:val="continue"/>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adjustRightInd w:val="0"/>
              <w:snapToGrid w:val="0"/>
              <w:jc w:val="center"/>
              <w:rPr>
                <w:rFonts w:ascii="仿宋" w:hAnsi="仿宋" w:eastAsia="仿宋" w:cs="宋体"/>
                <w:b/>
                <w:bCs/>
                <w:sz w:val="24"/>
                <w:szCs w:val="24"/>
                <w:highlight w:val="none"/>
              </w:rPr>
            </w:pPr>
          </w:p>
        </w:tc>
      </w:tr>
      <w:tr>
        <w:tblPrEx>
          <w:tblCellMar>
            <w:top w:w="0" w:type="dxa"/>
            <w:left w:w="0" w:type="dxa"/>
            <w:bottom w:w="0" w:type="dxa"/>
            <w:right w:w="0" w:type="dxa"/>
          </w:tblCellMar>
        </w:tblPrEx>
        <w:trPr>
          <w:trHeight w:val="1057" w:hRule="atLeast"/>
        </w:trPr>
        <w:tc>
          <w:tcPr>
            <w:tcW w:w="1314" w:type="pct"/>
            <w:tcBorders>
              <w:top w:val="single" w:color="000000" w:sz="4" w:space="0"/>
              <w:left w:val="single" w:color="000000" w:sz="4" w:space="0"/>
              <w:bottom w:val="single" w:color="000000" w:sz="4" w:space="0"/>
              <w:right w:val="single" w:color="000000" w:sz="4" w:space="0"/>
            </w:tcBorders>
            <w:vAlign w:val="center"/>
          </w:tcPr>
          <w:p>
            <w:pPr>
              <w:pStyle w:val="24"/>
              <w:kinsoku w:val="0"/>
              <w:overflowPunct w:val="0"/>
              <w:adjustRightInd w:val="0"/>
              <w:snapToGrid w:val="0"/>
              <w:spacing w:before="5"/>
              <w:jc w:val="center"/>
              <w:rPr>
                <w:rFonts w:ascii="仿宋" w:hAnsi="仿宋" w:eastAsia="仿宋"/>
                <w:b/>
                <w:bCs/>
                <w:sz w:val="24"/>
                <w:highlight w:val="none"/>
              </w:rPr>
            </w:pPr>
          </w:p>
          <w:p>
            <w:pPr>
              <w:pStyle w:val="24"/>
              <w:kinsoku w:val="0"/>
              <w:overflowPunct w:val="0"/>
              <w:adjustRightInd w:val="0"/>
              <w:snapToGrid w:val="0"/>
              <w:ind w:left="277" w:right="266"/>
              <w:jc w:val="center"/>
              <w:rPr>
                <w:rFonts w:ascii="仿宋" w:hAnsi="仿宋" w:eastAsia="仿宋"/>
                <w:sz w:val="24"/>
                <w:highlight w:val="none"/>
              </w:rPr>
            </w:pPr>
            <w:r>
              <w:rPr>
                <w:rFonts w:hint="eastAsia" w:ascii="仿宋" w:hAnsi="仿宋" w:eastAsia="仿宋"/>
                <w:sz w:val="24"/>
                <w:highlight w:val="none"/>
              </w:rPr>
              <w:t>投标人名称</w:t>
            </w:r>
          </w:p>
        </w:tc>
        <w:tc>
          <w:tcPr>
            <w:tcW w:w="1653" w:type="pct"/>
            <w:tcBorders>
              <w:top w:val="single" w:color="000000" w:sz="4" w:space="0"/>
              <w:left w:val="single" w:color="000000" w:sz="4" w:space="0"/>
              <w:bottom w:val="single" w:color="000000" w:sz="4" w:space="0"/>
              <w:right w:val="single" w:color="000000" w:sz="4" w:space="0"/>
            </w:tcBorders>
            <w:vAlign w:val="center"/>
          </w:tcPr>
          <w:p>
            <w:pPr>
              <w:pStyle w:val="24"/>
              <w:kinsoku w:val="0"/>
              <w:overflowPunct w:val="0"/>
              <w:adjustRightInd w:val="0"/>
              <w:snapToGrid w:val="0"/>
              <w:jc w:val="center"/>
              <w:rPr>
                <w:rFonts w:ascii="仿宋" w:hAnsi="仿宋" w:eastAsia="仿宋" w:cs="Times New Roman"/>
                <w:sz w:val="24"/>
                <w:highlight w:val="none"/>
              </w:rPr>
            </w:pPr>
          </w:p>
        </w:tc>
        <w:tc>
          <w:tcPr>
            <w:tcW w:w="1540" w:type="pct"/>
            <w:vMerge w:val="restart"/>
            <w:tcBorders>
              <w:top w:val="single" w:color="000000" w:sz="4" w:space="0"/>
              <w:left w:val="single" w:color="000000" w:sz="4" w:space="0"/>
              <w:bottom w:val="single" w:color="000000" w:sz="4" w:space="0"/>
              <w:right w:val="single" w:color="000000" w:sz="4" w:space="0"/>
            </w:tcBorders>
            <w:vAlign w:val="center"/>
          </w:tcPr>
          <w:p>
            <w:pPr>
              <w:pStyle w:val="24"/>
              <w:kinsoku w:val="0"/>
              <w:overflowPunct w:val="0"/>
              <w:adjustRightInd w:val="0"/>
              <w:snapToGrid w:val="0"/>
              <w:ind w:right="22"/>
              <w:jc w:val="center"/>
              <w:rPr>
                <w:rFonts w:ascii="仿宋" w:hAnsi="仿宋" w:eastAsia="仿宋"/>
                <w:sz w:val="24"/>
                <w:highlight w:val="none"/>
              </w:rPr>
            </w:pPr>
            <w:r>
              <w:rPr>
                <w:rFonts w:hint="eastAsia" w:ascii="仿宋" w:hAnsi="仿宋" w:eastAsia="仿宋"/>
                <w:sz w:val="24"/>
                <w:highlight w:val="none"/>
              </w:rPr>
              <w:t>投标人加盖公章</w:t>
            </w:r>
          </w:p>
        </w:tc>
        <w:tc>
          <w:tcPr>
            <w:tcW w:w="494" w:type="pct"/>
            <w:vMerge w:val="restart"/>
            <w:tcBorders>
              <w:top w:val="single" w:color="000000" w:sz="4" w:space="0"/>
              <w:left w:val="single" w:color="000000" w:sz="4" w:space="0"/>
              <w:bottom w:val="single" w:color="000000" w:sz="4" w:space="0"/>
              <w:right w:val="single" w:color="000000" w:sz="4" w:space="0"/>
            </w:tcBorders>
            <w:vAlign w:val="center"/>
          </w:tcPr>
          <w:p>
            <w:pPr>
              <w:pStyle w:val="24"/>
              <w:kinsoku w:val="0"/>
              <w:overflowPunct w:val="0"/>
              <w:adjustRightInd w:val="0"/>
              <w:snapToGrid w:val="0"/>
              <w:spacing w:before="100"/>
              <w:ind w:left="287" w:right="275"/>
              <w:jc w:val="center"/>
              <w:rPr>
                <w:rFonts w:ascii="仿宋" w:hAnsi="仿宋" w:eastAsia="仿宋"/>
                <w:sz w:val="24"/>
                <w:highlight w:val="none"/>
              </w:rPr>
            </w:pPr>
            <w:r>
              <w:rPr>
                <w:rFonts w:hint="eastAsia" w:ascii="仿宋" w:hAnsi="仿宋" w:eastAsia="仿宋"/>
                <w:sz w:val="24"/>
                <w:highlight w:val="none"/>
              </w:rPr>
              <w:t>招标人留存</w:t>
            </w:r>
          </w:p>
        </w:tc>
      </w:tr>
      <w:tr>
        <w:tblPrEx>
          <w:tblCellMar>
            <w:top w:w="0" w:type="dxa"/>
            <w:left w:w="0" w:type="dxa"/>
            <w:bottom w:w="0" w:type="dxa"/>
            <w:right w:w="0" w:type="dxa"/>
          </w:tblCellMar>
        </w:tblPrEx>
        <w:trPr>
          <w:trHeight w:val="623" w:hRule="atLeast"/>
        </w:trPr>
        <w:tc>
          <w:tcPr>
            <w:tcW w:w="1314" w:type="pct"/>
            <w:tcBorders>
              <w:top w:val="single" w:color="000000" w:sz="4" w:space="0"/>
              <w:left w:val="single" w:color="000000" w:sz="4" w:space="0"/>
              <w:bottom w:val="single" w:color="000000" w:sz="4" w:space="0"/>
              <w:right w:val="single" w:color="000000" w:sz="4" w:space="0"/>
            </w:tcBorders>
            <w:vAlign w:val="center"/>
          </w:tcPr>
          <w:p>
            <w:pPr>
              <w:pStyle w:val="24"/>
              <w:kinsoku w:val="0"/>
              <w:overflowPunct w:val="0"/>
              <w:adjustRightInd w:val="0"/>
              <w:snapToGrid w:val="0"/>
              <w:spacing w:before="85"/>
              <w:ind w:left="277" w:right="266"/>
              <w:jc w:val="center"/>
              <w:rPr>
                <w:rFonts w:ascii="仿宋" w:hAnsi="仿宋" w:eastAsia="仿宋"/>
                <w:sz w:val="24"/>
                <w:highlight w:val="none"/>
              </w:rPr>
            </w:pPr>
            <w:r>
              <w:rPr>
                <w:rFonts w:hint="eastAsia" w:ascii="仿宋" w:hAnsi="仿宋" w:eastAsia="仿宋"/>
                <w:sz w:val="24"/>
                <w:highlight w:val="none"/>
              </w:rPr>
              <w:t>投标联系人</w:t>
            </w:r>
          </w:p>
        </w:tc>
        <w:tc>
          <w:tcPr>
            <w:tcW w:w="1653" w:type="pct"/>
            <w:tcBorders>
              <w:top w:val="single" w:color="000000" w:sz="4" w:space="0"/>
              <w:left w:val="single" w:color="000000" w:sz="4" w:space="0"/>
              <w:bottom w:val="single" w:color="000000" w:sz="4" w:space="0"/>
              <w:right w:val="single" w:color="000000" w:sz="4" w:space="0"/>
            </w:tcBorders>
            <w:vAlign w:val="center"/>
          </w:tcPr>
          <w:p>
            <w:pPr>
              <w:pStyle w:val="24"/>
              <w:kinsoku w:val="0"/>
              <w:overflowPunct w:val="0"/>
              <w:adjustRightInd w:val="0"/>
              <w:snapToGrid w:val="0"/>
              <w:spacing w:before="141"/>
              <w:ind w:left="569" w:right="558"/>
              <w:jc w:val="center"/>
              <w:rPr>
                <w:rFonts w:ascii="仿宋" w:hAnsi="仿宋" w:eastAsia="仿宋" w:cs="Calibri"/>
                <w:sz w:val="24"/>
                <w:highlight w:val="none"/>
              </w:rPr>
            </w:pPr>
          </w:p>
        </w:tc>
        <w:tc>
          <w:tcPr>
            <w:tcW w:w="1540" w:type="pct"/>
            <w:vMerge w:val="continue"/>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adjustRightInd w:val="0"/>
              <w:snapToGrid w:val="0"/>
              <w:jc w:val="center"/>
              <w:rPr>
                <w:rFonts w:ascii="仿宋" w:hAnsi="仿宋" w:eastAsia="仿宋" w:cs="宋体"/>
                <w:b/>
                <w:bCs/>
                <w:sz w:val="24"/>
                <w:szCs w:val="24"/>
                <w:highlight w:val="none"/>
              </w:rPr>
            </w:pPr>
          </w:p>
        </w:tc>
        <w:tc>
          <w:tcPr>
            <w:tcW w:w="494" w:type="pct"/>
            <w:vMerge w:val="continue"/>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adjustRightInd w:val="0"/>
              <w:snapToGrid w:val="0"/>
              <w:jc w:val="center"/>
              <w:rPr>
                <w:rFonts w:ascii="仿宋" w:hAnsi="仿宋" w:eastAsia="仿宋" w:cs="宋体"/>
                <w:b/>
                <w:bCs/>
                <w:sz w:val="24"/>
                <w:szCs w:val="24"/>
                <w:highlight w:val="none"/>
              </w:rPr>
            </w:pPr>
          </w:p>
        </w:tc>
      </w:tr>
      <w:tr>
        <w:tblPrEx>
          <w:tblCellMar>
            <w:top w:w="0" w:type="dxa"/>
            <w:left w:w="0" w:type="dxa"/>
            <w:bottom w:w="0" w:type="dxa"/>
            <w:right w:w="0" w:type="dxa"/>
          </w:tblCellMar>
        </w:tblPrEx>
        <w:trPr>
          <w:trHeight w:val="624" w:hRule="atLeast"/>
        </w:trPr>
        <w:tc>
          <w:tcPr>
            <w:tcW w:w="1314" w:type="pct"/>
            <w:tcBorders>
              <w:top w:val="single" w:color="000000" w:sz="4" w:space="0"/>
              <w:left w:val="single" w:color="000000" w:sz="4" w:space="0"/>
              <w:bottom w:val="single" w:color="000000" w:sz="4" w:space="0"/>
              <w:right w:val="single" w:color="000000" w:sz="4" w:space="0"/>
            </w:tcBorders>
            <w:vAlign w:val="center"/>
          </w:tcPr>
          <w:p>
            <w:pPr>
              <w:pStyle w:val="24"/>
              <w:kinsoku w:val="0"/>
              <w:overflowPunct w:val="0"/>
              <w:adjustRightInd w:val="0"/>
              <w:snapToGrid w:val="0"/>
              <w:spacing w:before="85"/>
              <w:ind w:left="277" w:right="269"/>
              <w:jc w:val="center"/>
              <w:rPr>
                <w:rFonts w:ascii="仿宋" w:hAnsi="仿宋" w:eastAsia="仿宋"/>
                <w:sz w:val="24"/>
                <w:highlight w:val="none"/>
              </w:rPr>
            </w:pPr>
            <w:r>
              <w:rPr>
                <w:rFonts w:hint="eastAsia" w:ascii="仿宋" w:hAnsi="仿宋" w:eastAsia="仿宋"/>
                <w:sz w:val="24"/>
                <w:highlight w:val="none"/>
              </w:rPr>
              <w:t>办公电话</w:t>
            </w:r>
          </w:p>
        </w:tc>
        <w:tc>
          <w:tcPr>
            <w:tcW w:w="1653" w:type="pct"/>
            <w:tcBorders>
              <w:top w:val="single" w:color="000000" w:sz="4" w:space="0"/>
              <w:left w:val="single" w:color="000000" w:sz="4" w:space="0"/>
              <w:bottom w:val="single" w:color="000000" w:sz="4" w:space="0"/>
              <w:right w:val="single" w:color="000000" w:sz="4" w:space="0"/>
            </w:tcBorders>
            <w:vAlign w:val="center"/>
          </w:tcPr>
          <w:p>
            <w:pPr>
              <w:pStyle w:val="24"/>
              <w:kinsoku w:val="0"/>
              <w:overflowPunct w:val="0"/>
              <w:adjustRightInd w:val="0"/>
              <w:snapToGrid w:val="0"/>
              <w:spacing w:before="140"/>
              <w:ind w:left="573" w:right="558"/>
              <w:jc w:val="center"/>
              <w:rPr>
                <w:rFonts w:ascii="仿宋" w:hAnsi="仿宋" w:eastAsia="仿宋" w:cs="Calibri"/>
                <w:sz w:val="24"/>
                <w:highlight w:val="none"/>
              </w:rPr>
            </w:pPr>
          </w:p>
        </w:tc>
        <w:tc>
          <w:tcPr>
            <w:tcW w:w="1540" w:type="pct"/>
            <w:vMerge w:val="continue"/>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adjustRightInd w:val="0"/>
              <w:snapToGrid w:val="0"/>
              <w:jc w:val="center"/>
              <w:rPr>
                <w:rFonts w:ascii="仿宋" w:hAnsi="仿宋" w:eastAsia="仿宋" w:cs="宋体"/>
                <w:b/>
                <w:bCs/>
                <w:sz w:val="24"/>
                <w:szCs w:val="24"/>
                <w:highlight w:val="none"/>
              </w:rPr>
            </w:pPr>
          </w:p>
        </w:tc>
        <w:tc>
          <w:tcPr>
            <w:tcW w:w="494" w:type="pct"/>
            <w:vMerge w:val="continue"/>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adjustRightInd w:val="0"/>
              <w:snapToGrid w:val="0"/>
              <w:jc w:val="center"/>
              <w:rPr>
                <w:rFonts w:ascii="仿宋" w:hAnsi="仿宋" w:eastAsia="仿宋" w:cs="宋体"/>
                <w:b/>
                <w:bCs/>
                <w:sz w:val="24"/>
                <w:szCs w:val="24"/>
                <w:highlight w:val="none"/>
              </w:rPr>
            </w:pPr>
          </w:p>
        </w:tc>
      </w:tr>
      <w:tr>
        <w:tblPrEx>
          <w:tblCellMar>
            <w:top w:w="0" w:type="dxa"/>
            <w:left w:w="0" w:type="dxa"/>
            <w:bottom w:w="0" w:type="dxa"/>
            <w:right w:w="0" w:type="dxa"/>
          </w:tblCellMar>
        </w:tblPrEx>
        <w:trPr>
          <w:trHeight w:val="624" w:hRule="atLeast"/>
        </w:trPr>
        <w:tc>
          <w:tcPr>
            <w:tcW w:w="1314" w:type="pct"/>
            <w:tcBorders>
              <w:top w:val="single" w:color="000000" w:sz="4" w:space="0"/>
              <w:left w:val="single" w:color="000000" w:sz="4" w:space="0"/>
              <w:bottom w:val="single" w:color="000000" w:sz="4" w:space="0"/>
              <w:right w:val="single" w:color="000000" w:sz="4" w:space="0"/>
            </w:tcBorders>
            <w:vAlign w:val="center"/>
          </w:tcPr>
          <w:p>
            <w:pPr>
              <w:pStyle w:val="24"/>
              <w:kinsoku w:val="0"/>
              <w:overflowPunct w:val="0"/>
              <w:adjustRightInd w:val="0"/>
              <w:snapToGrid w:val="0"/>
              <w:spacing w:before="87"/>
              <w:ind w:left="277" w:right="269"/>
              <w:jc w:val="center"/>
              <w:rPr>
                <w:rFonts w:ascii="仿宋" w:hAnsi="仿宋" w:eastAsia="仿宋"/>
                <w:sz w:val="24"/>
                <w:highlight w:val="none"/>
              </w:rPr>
            </w:pPr>
            <w:r>
              <w:rPr>
                <w:rFonts w:hint="eastAsia" w:ascii="仿宋" w:hAnsi="仿宋" w:eastAsia="仿宋"/>
                <w:sz w:val="24"/>
                <w:highlight w:val="none"/>
              </w:rPr>
              <w:t>移动电话</w:t>
            </w:r>
          </w:p>
        </w:tc>
        <w:tc>
          <w:tcPr>
            <w:tcW w:w="3192" w:type="pct"/>
            <w:gridSpan w:val="2"/>
            <w:tcBorders>
              <w:top w:val="single" w:color="000000" w:sz="4" w:space="0"/>
              <w:left w:val="single" w:color="000000" w:sz="4" w:space="0"/>
              <w:bottom w:val="single" w:color="000000" w:sz="4" w:space="0"/>
              <w:right w:val="single" w:color="000000" w:sz="4" w:space="0"/>
            </w:tcBorders>
            <w:vAlign w:val="center"/>
          </w:tcPr>
          <w:p>
            <w:pPr>
              <w:pStyle w:val="24"/>
              <w:kinsoku w:val="0"/>
              <w:overflowPunct w:val="0"/>
              <w:adjustRightInd w:val="0"/>
              <w:snapToGrid w:val="0"/>
              <w:spacing w:before="142"/>
              <w:ind w:left="11"/>
              <w:jc w:val="center"/>
              <w:rPr>
                <w:rFonts w:ascii="仿宋" w:hAnsi="仿宋" w:eastAsia="仿宋" w:cs="Calibri"/>
                <w:sz w:val="24"/>
                <w:highlight w:val="none"/>
              </w:rPr>
            </w:pPr>
          </w:p>
        </w:tc>
        <w:tc>
          <w:tcPr>
            <w:tcW w:w="494" w:type="pct"/>
            <w:vMerge w:val="continue"/>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adjustRightInd w:val="0"/>
              <w:snapToGrid w:val="0"/>
              <w:jc w:val="center"/>
              <w:rPr>
                <w:rFonts w:ascii="仿宋" w:hAnsi="仿宋" w:eastAsia="仿宋" w:cs="宋体"/>
                <w:b/>
                <w:bCs/>
                <w:sz w:val="24"/>
                <w:szCs w:val="24"/>
                <w:highlight w:val="none"/>
              </w:rPr>
            </w:pPr>
          </w:p>
        </w:tc>
      </w:tr>
    </w:tbl>
    <w:p>
      <w:pPr>
        <w:pStyle w:val="8"/>
        <w:kinsoku w:val="0"/>
        <w:overflowPunct w:val="0"/>
        <w:spacing w:after="0" w:line="360" w:lineRule="auto"/>
        <w:ind w:left="420"/>
        <w:rPr>
          <w:rFonts w:ascii="仿宋" w:hAnsi="仿宋" w:eastAsia="仿宋"/>
          <w:b/>
          <w:bCs/>
          <w:w w:val="95"/>
          <w:sz w:val="24"/>
          <w:szCs w:val="24"/>
          <w:highlight w:val="none"/>
        </w:rPr>
      </w:pPr>
      <w:r>
        <w:rPr>
          <w:rFonts w:hint="eastAsia" w:ascii="仿宋" w:hAnsi="仿宋" w:eastAsia="仿宋"/>
          <w:b/>
          <w:bCs/>
          <w:w w:val="95"/>
          <w:sz w:val="24"/>
          <w:szCs w:val="24"/>
          <w:highlight w:val="none"/>
        </w:rPr>
        <w:t>……………………（请投标人在此加盖骑缝公章）……………………</w:t>
      </w:r>
    </w:p>
    <w:p>
      <w:pPr>
        <w:pStyle w:val="8"/>
        <w:kinsoku w:val="0"/>
        <w:overflowPunct w:val="0"/>
        <w:spacing w:after="0" w:line="276" w:lineRule="auto"/>
        <w:jc w:val="center"/>
        <w:rPr>
          <w:rFonts w:ascii="仿宋" w:hAnsi="仿宋" w:eastAsia="仿宋"/>
          <w:b/>
          <w:bCs/>
          <w:w w:val="95"/>
          <w:sz w:val="24"/>
          <w:szCs w:val="24"/>
          <w:highlight w:val="none"/>
        </w:rPr>
      </w:pPr>
      <w:r>
        <w:rPr>
          <w:rFonts w:hint="eastAsia" w:ascii="仿宋" w:hAnsi="仿宋" w:eastAsia="仿宋"/>
          <w:b/>
          <w:bCs/>
          <w:w w:val="95"/>
          <w:sz w:val="24"/>
          <w:szCs w:val="24"/>
          <w:highlight w:val="none"/>
        </w:rPr>
        <w:t>南昌职业大学合同节水管理项目</w:t>
      </w:r>
    </w:p>
    <w:p>
      <w:pPr>
        <w:pStyle w:val="8"/>
        <w:kinsoku w:val="0"/>
        <w:overflowPunct w:val="0"/>
        <w:spacing w:after="0"/>
        <w:jc w:val="center"/>
        <w:rPr>
          <w:rFonts w:ascii="仿宋" w:hAnsi="仿宋" w:eastAsia="仿宋"/>
          <w:b/>
          <w:bCs/>
          <w:w w:val="95"/>
          <w:sz w:val="24"/>
          <w:szCs w:val="24"/>
          <w:highlight w:val="none"/>
        </w:rPr>
      </w:pPr>
      <w:r>
        <w:rPr>
          <w:rFonts w:hint="eastAsia" w:ascii="仿宋" w:hAnsi="仿宋" w:eastAsia="仿宋"/>
          <w:b/>
          <w:bCs/>
          <w:w w:val="95"/>
          <w:sz w:val="24"/>
          <w:szCs w:val="24"/>
          <w:highlight w:val="none"/>
        </w:rPr>
        <w:t>投标人参与现场踏勘确认函回执</w:t>
      </w:r>
    </w:p>
    <w:tbl>
      <w:tblPr>
        <w:tblStyle w:val="14"/>
        <w:tblW w:w="5000" w:type="pct"/>
        <w:tblInd w:w="-5" w:type="dxa"/>
        <w:tblLayout w:type="autofit"/>
        <w:tblCellMar>
          <w:top w:w="0" w:type="dxa"/>
          <w:left w:w="0" w:type="dxa"/>
          <w:bottom w:w="0" w:type="dxa"/>
          <w:right w:w="0" w:type="dxa"/>
        </w:tblCellMar>
      </w:tblPr>
      <w:tblGrid>
        <w:gridCol w:w="2197"/>
        <w:gridCol w:w="3333"/>
        <w:gridCol w:w="1968"/>
        <w:gridCol w:w="818"/>
      </w:tblGrid>
      <w:tr>
        <w:tblPrEx>
          <w:tblCellMar>
            <w:top w:w="0" w:type="dxa"/>
            <w:left w:w="0" w:type="dxa"/>
            <w:bottom w:w="0" w:type="dxa"/>
            <w:right w:w="0" w:type="dxa"/>
          </w:tblCellMar>
        </w:tblPrEx>
        <w:trPr>
          <w:trHeight w:val="623" w:hRule="atLeast"/>
        </w:trPr>
        <w:tc>
          <w:tcPr>
            <w:tcW w:w="1321" w:type="pct"/>
            <w:tcBorders>
              <w:top w:val="single" w:color="000000" w:sz="4" w:space="0"/>
              <w:left w:val="single" w:color="000000" w:sz="4" w:space="0"/>
              <w:bottom w:val="single" w:color="000000" w:sz="4" w:space="0"/>
              <w:right w:val="single" w:color="000000" w:sz="4" w:space="0"/>
            </w:tcBorders>
            <w:vAlign w:val="center"/>
          </w:tcPr>
          <w:p>
            <w:pPr>
              <w:pStyle w:val="24"/>
              <w:kinsoku w:val="0"/>
              <w:overflowPunct w:val="0"/>
              <w:adjustRightInd w:val="0"/>
              <w:snapToGrid w:val="0"/>
              <w:spacing w:before="86"/>
              <w:ind w:left="277" w:right="271"/>
              <w:jc w:val="center"/>
              <w:rPr>
                <w:rFonts w:ascii="仿宋" w:hAnsi="仿宋" w:eastAsia="仿宋"/>
                <w:sz w:val="24"/>
                <w:highlight w:val="none"/>
              </w:rPr>
            </w:pPr>
            <w:r>
              <w:rPr>
                <w:rFonts w:hint="eastAsia" w:ascii="仿宋" w:hAnsi="仿宋" w:eastAsia="仿宋"/>
                <w:sz w:val="24"/>
                <w:highlight w:val="none"/>
              </w:rPr>
              <w:t>招标项目名称</w:t>
            </w:r>
          </w:p>
        </w:tc>
        <w:tc>
          <w:tcPr>
            <w:tcW w:w="3187" w:type="pct"/>
            <w:gridSpan w:val="2"/>
            <w:tcBorders>
              <w:top w:val="single" w:color="000000" w:sz="4" w:space="0"/>
              <w:left w:val="single" w:color="000000" w:sz="4" w:space="0"/>
              <w:bottom w:val="single" w:color="000000" w:sz="4" w:space="0"/>
              <w:right w:val="single" w:color="000000" w:sz="4" w:space="0"/>
            </w:tcBorders>
            <w:vAlign w:val="center"/>
          </w:tcPr>
          <w:p>
            <w:pPr>
              <w:pStyle w:val="24"/>
              <w:kinsoku w:val="0"/>
              <w:overflowPunct w:val="0"/>
              <w:adjustRightInd w:val="0"/>
              <w:snapToGrid w:val="0"/>
              <w:spacing w:before="86"/>
              <w:ind w:left="277" w:right="271"/>
              <w:jc w:val="center"/>
              <w:rPr>
                <w:rFonts w:ascii="仿宋" w:hAnsi="仿宋" w:eastAsia="仿宋"/>
                <w:sz w:val="24"/>
                <w:highlight w:val="none"/>
              </w:rPr>
            </w:pPr>
          </w:p>
        </w:tc>
        <w:tc>
          <w:tcPr>
            <w:tcW w:w="493" w:type="pct"/>
            <w:vMerge w:val="restart"/>
            <w:tcBorders>
              <w:top w:val="single" w:color="000000" w:sz="4" w:space="0"/>
              <w:left w:val="single" w:color="000000" w:sz="4" w:space="0"/>
              <w:bottom w:val="single" w:color="000000" w:sz="4" w:space="0"/>
              <w:right w:val="single" w:color="000000" w:sz="4" w:space="0"/>
            </w:tcBorders>
            <w:vAlign w:val="center"/>
          </w:tcPr>
          <w:p>
            <w:pPr>
              <w:pStyle w:val="24"/>
              <w:kinsoku w:val="0"/>
              <w:overflowPunct w:val="0"/>
              <w:adjustRightInd w:val="0"/>
              <w:snapToGrid w:val="0"/>
              <w:spacing w:before="23"/>
              <w:ind w:left="287" w:right="275"/>
              <w:jc w:val="center"/>
              <w:rPr>
                <w:rFonts w:ascii="仿宋" w:hAnsi="仿宋" w:eastAsia="仿宋"/>
                <w:sz w:val="24"/>
                <w:highlight w:val="none"/>
              </w:rPr>
            </w:pPr>
            <w:r>
              <w:rPr>
                <w:rFonts w:hint="eastAsia" w:ascii="仿宋" w:hAnsi="仿宋" w:eastAsia="仿宋"/>
                <w:sz w:val="24"/>
                <w:highlight w:val="none"/>
              </w:rPr>
              <w:t>第二联</w:t>
            </w:r>
          </w:p>
        </w:tc>
      </w:tr>
      <w:tr>
        <w:tblPrEx>
          <w:tblCellMar>
            <w:top w:w="0" w:type="dxa"/>
            <w:left w:w="0" w:type="dxa"/>
            <w:bottom w:w="0" w:type="dxa"/>
            <w:right w:w="0" w:type="dxa"/>
          </w:tblCellMar>
        </w:tblPrEx>
        <w:trPr>
          <w:trHeight w:val="623" w:hRule="atLeast"/>
        </w:trPr>
        <w:tc>
          <w:tcPr>
            <w:tcW w:w="1321" w:type="pct"/>
            <w:tcBorders>
              <w:top w:val="single" w:color="000000" w:sz="4" w:space="0"/>
              <w:left w:val="single" w:color="000000" w:sz="4" w:space="0"/>
              <w:bottom w:val="single" w:color="000000" w:sz="4" w:space="0"/>
              <w:right w:val="single" w:color="000000" w:sz="4" w:space="0"/>
            </w:tcBorders>
            <w:vAlign w:val="center"/>
          </w:tcPr>
          <w:p>
            <w:pPr>
              <w:pStyle w:val="24"/>
              <w:kinsoku w:val="0"/>
              <w:overflowPunct w:val="0"/>
              <w:adjustRightInd w:val="0"/>
              <w:snapToGrid w:val="0"/>
              <w:spacing w:before="86"/>
              <w:ind w:left="277" w:right="271"/>
              <w:jc w:val="center"/>
              <w:rPr>
                <w:rFonts w:ascii="仿宋" w:hAnsi="仿宋" w:eastAsia="仿宋"/>
                <w:sz w:val="24"/>
                <w:highlight w:val="none"/>
              </w:rPr>
            </w:pPr>
            <w:r>
              <w:rPr>
                <w:rFonts w:hint="eastAsia" w:ascii="仿宋" w:hAnsi="仿宋" w:eastAsia="仿宋"/>
                <w:sz w:val="24"/>
                <w:highlight w:val="none"/>
              </w:rPr>
              <w:t>招标项目编号</w:t>
            </w:r>
          </w:p>
        </w:tc>
        <w:tc>
          <w:tcPr>
            <w:tcW w:w="3187" w:type="pct"/>
            <w:gridSpan w:val="2"/>
            <w:tcBorders>
              <w:top w:val="single" w:color="000000" w:sz="4" w:space="0"/>
              <w:left w:val="single" w:color="000000" w:sz="4" w:space="0"/>
              <w:bottom w:val="single" w:color="000000" w:sz="4" w:space="0"/>
              <w:right w:val="single" w:color="000000" w:sz="4" w:space="0"/>
            </w:tcBorders>
            <w:vAlign w:val="center"/>
          </w:tcPr>
          <w:p>
            <w:pPr>
              <w:pStyle w:val="24"/>
              <w:kinsoku w:val="0"/>
              <w:overflowPunct w:val="0"/>
              <w:adjustRightInd w:val="0"/>
              <w:snapToGrid w:val="0"/>
              <w:spacing w:before="86"/>
              <w:ind w:left="277" w:right="271"/>
              <w:jc w:val="center"/>
              <w:rPr>
                <w:rFonts w:ascii="仿宋" w:hAnsi="仿宋" w:eastAsia="仿宋"/>
                <w:sz w:val="24"/>
                <w:highlight w:val="none"/>
              </w:rPr>
            </w:pPr>
          </w:p>
        </w:tc>
        <w:tc>
          <w:tcPr>
            <w:tcW w:w="493" w:type="pct"/>
            <w:vMerge w:val="continue"/>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adjustRightInd w:val="0"/>
              <w:snapToGrid w:val="0"/>
              <w:jc w:val="center"/>
              <w:rPr>
                <w:rFonts w:ascii="仿宋" w:hAnsi="仿宋" w:eastAsia="仿宋" w:cs="宋体"/>
                <w:b/>
                <w:bCs/>
                <w:sz w:val="24"/>
                <w:szCs w:val="24"/>
                <w:highlight w:val="none"/>
              </w:rPr>
            </w:pPr>
          </w:p>
        </w:tc>
      </w:tr>
      <w:tr>
        <w:tblPrEx>
          <w:tblCellMar>
            <w:top w:w="0" w:type="dxa"/>
            <w:left w:w="0" w:type="dxa"/>
            <w:bottom w:w="0" w:type="dxa"/>
            <w:right w:w="0" w:type="dxa"/>
          </w:tblCellMar>
        </w:tblPrEx>
        <w:trPr>
          <w:trHeight w:val="624" w:hRule="atLeast"/>
        </w:trPr>
        <w:tc>
          <w:tcPr>
            <w:tcW w:w="1321" w:type="pct"/>
            <w:tcBorders>
              <w:top w:val="single" w:color="000000" w:sz="4" w:space="0"/>
              <w:left w:val="single" w:color="000000" w:sz="4" w:space="0"/>
              <w:bottom w:val="single" w:color="000000" w:sz="4" w:space="0"/>
              <w:right w:val="single" w:color="000000" w:sz="4" w:space="0"/>
            </w:tcBorders>
            <w:vAlign w:val="center"/>
          </w:tcPr>
          <w:p>
            <w:pPr>
              <w:pStyle w:val="24"/>
              <w:kinsoku w:val="0"/>
              <w:overflowPunct w:val="0"/>
              <w:adjustRightInd w:val="0"/>
              <w:snapToGrid w:val="0"/>
              <w:spacing w:before="86"/>
              <w:ind w:left="277" w:right="271"/>
              <w:jc w:val="center"/>
              <w:rPr>
                <w:rFonts w:ascii="仿宋" w:hAnsi="仿宋" w:eastAsia="仿宋"/>
                <w:sz w:val="24"/>
                <w:highlight w:val="none"/>
              </w:rPr>
            </w:pPr>
            <w:r>
              <w:rPr>
                <w:rFonts w:hint="eastAsia" w:ascii="仿宋" w:hAnsi="仿宋" w:eastAsia="仿宋"/>
                <w:sz w:val="24"/>
                <w:highlight w:val="none"/>
              </w:rPr>
              <w:t>投标人名称</w:t>
            </w:r>
          </w:p>
        </w:tc>
        <w:tc>
          <w:tcPr>
            <w:tcW w:w="3187" w:type="pct"/>
            <w:gridSpan w:val="2"/>
            <w:tcBorders>
              <w:top w:val="single" w:color="000000" w:sz="4" w:space="0"/>
              <w:left w:val="single" w:color="000000" w:sz="4" w:space="0"/>
              <w:bottom w:val="single" w:color="000000" w:sz="4" w:space="0"/>
              <w:right w:val="single" w:color="000000" w:sz="4" w:space="0"/>
            </w:tcBorders>
            <w:vAlign w:val="center"/>
          </w:tcPr>
          <w:p>
            <w:pPr>
              <w:pStyle w:val="24"/>
              <w:kinsoku w:val="0"/>
              <w:overflowPunct w:val="0"/>
              <w:adjustRightInd w:val="0"/>
              <w:snapToGrid w:val="0"/>
              <w:spacing w:before="86"/>
              <w:ind w:left="277" w:right="271"/>
              <w:jc w:val="center"/>
              <w:rPr>
                <w:rFonts w:ascii="仿宋" w:hAnsi="仿宋" w:eastAsia="仿宋"/>
                <w:sz w:val="24"/>
                <w:highlight w:val="none"/>
              </w:rPr>
            </w:pPr>
          </w:p>
        </w:tc>
        <w:tc>
          <w:tcPr>
            <w:tcW w:w="493" w:type="pct"/>
            <w:vMerge w:val="restart"/>
            <w:tcBorders>
              <w:top w:val="single" w:color="000000" w:sz="4" w:space="0"/>
              <w:left w:val="single" w:color="000000" w:sz="4" w:space="0"/>
              <w:bottom w:val="single" w:color="000000" w:sz="4" w:space="0"/>
              <w:right w:val="single" w:color="000000" w:sz="4" w:space="0"/>
            </w:tcBorders>
            <w:vAlign w:val="center"/>
          </w:tcPr>
          <w:p>
            <w:pPr>
              <w:pStyle w:val="24"/>
              <w:kinsoku w:val="0"/>
              <w:overflowPunct w:val="0"/>
              <w:adjustRightInd w:val="0"/>
              <w:snapToGrid w:val="0"/>
              <w:spacing w:before="102"/>
              <w:ind w:left="287" w:right="275"/>
              <w:jc w:val="center"/>
              <w:rPr>
                <w:rFonts w:ascii="仿宋" w:hAnsi="仿宋" w:eastAsia="仿宋"/>
                <w:sz w:val="24"/>
                <w:highlight w:val="none"/>
              </w:rPr>
            </w:pPr>
            <w:r>
              <w:rPr>
                <w:rFonts w:hint="eastAsia" w:ascii="仿宋" w:hAnsi="仿宋" w:eastAsia="仿宋"/>
                <w:sz w:val="24"/>
                <w:highlight w:val="none"/>
              </w:rPr>
              <w:t>投标人留存</w:t>
            </w:r>
          </w:p>
        </w:tc>
      </w:tr>
      <w:tr>
        <w:tblPrEx>
          <w:tblCellMar>
            <w:top w:w="0" w:type="dxa"/>
            <w:left w:w="0" w:type="dxa"/>
            <w:bottom w:w="0" w:type="dxa"/>
            <w:right w:w="0" w:type="dxa"/>
          </w:tblCellMar>
        </w:tblPrEx>
        <w:trPr>
          <w:trHeight w:val="624" w:hRule="atLeast"/>
        </w:trPr>
        <w:tc>
          <w:tcPr>
            <w:tcW w:w="1321" w:type="pct"/>
            <w:tcBorders>
              <w:top w:val="single" w:color="000000" w:sz="4" w:space="0"/>
              <w:left w:val="single" w:color="000000" w:sz="4" w:space="0"/>
              <w:bottom w:val="single" w:color="000000" w:sz="4" w:space="0"/>
              <w:right w:val="single" w:color="000000" w:sz="4" w:space="0"/>
            </w:tcBorders>
            <w:vAlign w:val="center"/>
          </w:tcPr>
          <w:p>
            <w:pPr>
              <w:pStyle w:val="24"/>
              <w:kinsoku w:val="0"/>
              <w:overflowPunct w:val="0"/>
              <w:adjustRightInd w:val="0"/>
              <w:snapToGrid w:val="0"/>
              <w:spacing w:before="86"/>
              <w:ind w:left="277" w:right="271"/>
              <w:jc w:val="center"/>
              <w:rPr>
                <w:rFonts w:ascii="仿宋" w:hAnsi="仿宋" w:eastAsia="仿宋"/>
                <w:sz w:val="24"/>
                <w:highlight w:val="none"/>
              </w:rPr>
            </w:pPr>
            <w:r>
              <w:rPr>
                <w:rFonts w:hint="eastAsia" w:ascii="仿宋" w:hAnsi="仿宋" w:eastAsia="仿宋"/>
                <w:sz w:val="24"/>
                <w:highlight w:val="none"/>
              </w:rPr>
              <w:t>招标单位名称</w:t>
            </w:r>
          </w:p>
        </w:tc>
        <w:tc>
          <w:tcPr>
            <w:tcW w:w="3187" w:type="pct"/>
            <w:gridSpan w:val="2"/>
            <w:tcBorders>
              <w:top w:val="single" w:color="000000" w:sz="4" w:space="0"/>
              <w:left w:val="single" w:color="000000" w:sz="4" w:space="0"/>
              <w:bottom w:val="single" w:color="000000" w:sz="4" w:space="0"/>
              <w:right w:val="single" w:color="000000" w:sz="4" w:space="0"/>
            </w:tcBorders>
            <w:vAlign w:val="center"/>
          </w:tcPr>
          <w:p>
            <w:pPr>
              <w:pStyle w:val="24"/>
              <w:kinsoku w:val="0"/>
              <w:overflowPunct w:val="0"/>
              <w:adjustRightInd w:val="0"/>
              <w:snapToGrid w:val="0"/>
              <w:spacing w:before="86"/>
              <w:ind w:left="277" w:right="271"/>
              <w:jc w:val="center"/>
              <w:rPr>
                <w:rFonts w:ascii="仿宋" w:hAnsi="仿宋" w:eastAsia="仿宋"/>
                <w:sz w:val="24"/>
                <w:highlight w:val="none"/>
              </w:rPr>
            </w:pPr>
          </w:p>
        </w:tc>
        <w:tc>
          <w:tcPr>
            <w:tcW w:w="493" w:type="pct"/>
            <w:vMerge w:val="continue"/>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adjustRightInd w:val="0"/>
              <w:snapToGrid w:val="0"/>
              <w:jc w:val="center"/>
              <w:rPr>
                <w:rFonts w:ascii="仿宋" w:hAnsi="仿宋" w:eastAsia="仿宋" w:cs="宋体"/>
                <w:b/>
                <w:bCs/>
                <w:sz w:val="24"/>
                <w:szCs w:val="24"/>
                <w:highlight w:val="none"/>
              </w:rPr>
            </w:pPr>
          </w:p>
        </w:tc>
      </w:tr>
      <w:tr>
        <w:tblPrEx>
          <w:tblCellMar>
            <w:top w:w="0" w:type="dxa"/>
            <w:left w:w="0" w:type="dxa"/>
            <w:bottom w:w="0" w:type="dxa"/>
            <w:right w:w="0" w:type="dxa"/>
          </w:tblCellMar>
        </w:tblPrEx>
        <w:trPr>
          <w:trHeight w:val="1247" w:hRule="atLeast"/>
        </w:trPr>
        <w:tc>
          <w:tcPr>
            <w:tcW w:w="1321" w:type="pct"/>
            <w:tcBorders>
              <w:top w:val="single" w:color="000000" w:sz="4" w:space="0"/>
              <w:left w:val="single" w:color="000000" w:sz="4" w:space="0"/>
              <w:bottom w:val="single" w:color="000000" w:sz="4" w:space="0"/>
              <w:right w:val="single" w:color="000000" w:sz="4" w:space="0"/>
            </w:tcBorders>
            <w:vAlign w:val="center"/>
          </w:tcPr>
          <w:p>
            <w:pPr>
              <w:pStyle w:val="24"/>
              <w:kinsoku w:val="0"/>
              <w:overflowPunct w:val="0"/>
              <w:adjustRightInd w:val="0"/>
              <w:snapToGrid w:val="0"/>
              <w:spacing w:before="86"/>
              <w:ind w:left="277" w:right="271"/>
              <w:jc w:val="center"/>
              <w:rPr>
                <w:rFonts w:ascii="仿宋" w:hAnsi="仿宋" w:eastAsia="仿宋"/>
                <w:sz w:val="24"/>
                <w:highlight w:val="none"/>
              </w:rPr>
            </w:pPr>
            <w:r>
              <w:rPr>
                <w:rFonts w:hint="eastAsia" w:ascii="仿宋" w:hAnsi="仿宋" w:eastAsia="仿宋"/>
                <w:sz w:val="24"/>
                <w:highlight w:val="none"/>
              </w:rPr>
              <w:t>招标单位现场踏</w:t>
            </w:r>
          </w:p>
          <w:p>
            <w:pPr>
              <w:pStyle w:val="24"/>
              <w:kinsoku w:val="0"/>
              <w:overflowPunct w:val="0"/>
              <w:adjustRightInd w:val="0"/>
              <w:snapToGrid w:val="0"/>
              <w:spacing w:before="86"/>
              <w:ind w:left="277" w:right="271"/>
              <w:jc w:val="center"/>
              <w:rPr>
                <w:rFonts w:ascii="仿宋" w:hAnsi="仿宋" w:eastAsia="仿宋"/>
                <w:sz w:val="24"/>
                <w:highlight w:val="none"/>
              </w:rPr>
            </w:pPr>
          </w:p>
          <w:p>
            <w:pPr>
              <w:pStyle w:val="24"/>
              <w:kinsoku w:val="0"/>
              <w:overflowPunct w:val="0"/>
              <w:adjustRightInd w:val="0"/>
              <w:snapToGrid w:val="0"/>
              <w:spacing w:before="86"/>
              <w:ind w:left="277" w:right="271"/>
              <w:jc w:val="center"/>
              <w:rPr>
                <w:rFonts w:ascii="仿宋" w:hAnsi="仿宋" w:eastAsia="仿宋"/>
                <w:sz w:val="24"/>
                <w:highlight w:val="none"/>
              </w:rPr>
            </w:pPr>
            <w:r>
              <w:rPr>
                <w:rFonts w:hint="eastAsia" w:ascii="仿宋" w:hAnsi="仿宋" w:eastAsia="仿宋"/>
                <w:sz w:val="24"/>
                <w:highlight w:val="none"/>
              </w:rPr>
              <w:t>勘负责人签字</w:t>
            </w:r>
          </w:p>
        </w:tc>
        <w:tc>
          <w:tcPr>
            <w:tcW w:w="2004" w:type="pct"/>
            <w:tcBorders>
              <w:top w:val="single" w:color="000000" w:sz="4" w:space="0"/>
              <w:left w:val="single" w:color="000000" w:sz="4" w:space="0"/>
              <w:bottom w:val="single" w:color="000000" w:sz="4" w:space="0"/>
              <w:right w:val="single" w:color="000000" w:sz="4" w:space="0"/>
            </w:tcBorders>
            <w:vAlign w:val="center"/>
          </w:tcPr>
          <w:p>
            <w:pPr>
              <w:pStyle w:val="24"/>
              <w:kinsoku w:val="0"/>
              <w:overflowPunct w:val="0"/>
              <w:adjustRightInd w:val="0"/>
              <w:snapToGrid w:val="0"/>
              <w:spacing w:before="86"/>
              <w:ind w:left="277" w:right="271"/>
              <w:jc w:val="center"/>
              <w:rPr>
                <w:rFonts w:ascii="仿宋" w:hAnsi="仿宋" w:eastAsia="仿宋"/>
                <w:sz w:val="24"/>
                <w:highlight w:val="none"/>
              </w:rPr>
            </w:pPr>
          </w:p>
        </w:tc>
        <w:tc>
          <w:tcPr>
            <w:tcW w:w="1183" w:type="pct"/>
            <w:vMerge w:val="restart"/>
            <w:tcBorders>
              <w:top w:val="single" w:color="000000" w:sz="4" w:space="0"/>
              <w:left w:val="single" w:color="000000" w:sz="4" w:space="0"/>
              <w:bottom w:val="single" w:color="000000" w:sz="4" w:space="0"/>
              <w:right w:val="single" w:color="000000" w:sz="4" w:space="0"/>
            </w:tcBorders>
            <w:vAlign w:val="center"/>
          </w:tcPr>
          <w:p>
            <w:pPr>
              <w:pStyle w:val="24"/>
              <w:kinsoku w:val="0"/>
              <w:overflowPunct w:val="0"/>
              <w:adjustRightInd w:val="0"/>
              <w:snapToGrid w:val="0"/>
              <w:ind w:right="-47"/>
              <w:jc w:val="center"/>
              <w:rPr>
                <w:rFonts w:ascii="仿宋" w:hAnsi="仿宋" w:eastAsia="仿宋"/>
                <w:sz w:val="24"/>
                <w:highlight w:val="none"/>
              </w:rPr>
            </w:pPr>
            <w:r>
              <w:rPr>
                <w:rFonts w:hint="eastAsia" w:ascii="仿宋" w:hAnsi="仿宋" w:eastAsia="仿宋"/>
                <w:sz w:val="24"/>
                <w:highlight w:val="none"/>
              </w:rPr>
              <w:t>招标人加盖公章</w:t>
            </w:r>
          </w:p>
        </w:tc>
        <w:tc>
          <w:tcPr>
            <w:tcW w:w="493" w:type="pct"/>
            <w:vMerge w:val="continue"/>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adjustRightInd w:val="0"/>
              <w:snapToGrid w:val="0"/>
              <w:jc w:val="center"/>
              <w:rPr>
                <w:rFonts w:ascii="仿宋" w:hAnsi="仿宋" w:eastAsia="仿宋" w:cs="宋体"/>
                <w:b/>
                <w:bCs/>
                <w:sz w:val="24"/>
                <w:szCs w:val="24"/>
                <w:highlight w:val="none"/>
              </w:rPr>
            </w:pPr>
          </w:p>
        </w:tc>
      </w:tr>
      <w:tr>
        <w:tblPrEx>
          <w:tblCellMar>
            <w:top w:w="0" w:type="dxa"/>
            <w:left w:w="0" w:type="dxa"/>
            <w:bottom w:w="0" w:type="dxa"/>
            <w:right w:w="0" w:type="dxa"/>
          </w:tblCellMar>
        </w:tblPrEx>
        <w:trPr>
          <w:trHeight w:val="623" w:hRule="atLeast"/>
        </w:trPr>
        <w:tc>
          <w:tcPr>
            <w:tcW w:w="1321" w:type="pct"/>
            <w:tcBorders>
              <w:top w:val="single" w:color="000000" w:sz="4" w:space="0"/>
              <w:left w:val="single" w:color="000000" w:sz="4" w:space="0"/>
              <w:bottom w:val="single" w:color="000000" w:sz="4" w:space="0"/>
              <w:right w:val="single" w:color="000000" w:sz="4" w:space="0"/>
            </w:tcBorders>
            <w:vAlign w:val="center"/>
          </w:tcPr>
          <w:p>
            <w:pPr>
              <w:pStyle w:val="24"/>
              <w:kinsoku w:val="0"/>
              <w:overflowPunct w:val="0"/>
              <w:adjustRightInd w:val="0"/>
              <w:snapToGrid w:val="0"/>
              <w:spacing w:before="86"/>
              <w:ind w:left="277" w:right="271"/>
              <w:jc w:val="center"/>
              <w:rPr>
                <w:rFonts w:ascii="仿宋" w:hAnsi="仿宋" w:eastAsia="仿宋"/>
                <w:sz w:val="24"/>
                <w:highlight w:val="none"/>
              </w:rPr>
            </w:pPr>
            <w:r>
              <w:rPr>
                <w:rFonts w:hint="eastAsia" w:ascii="仿宋" w:hAnsi="仿宋" w:eastAsia="仿宋"/>
                <w:sz w:val="24"/>
                <w:highlight w:val="none"/>
              </w:rPr>
              <w:t>现场踏勘时间</w:t>
            </w:r>
          </w:p>
        </w:tc>
        <w:tc>
          <w:tcPr>
            <w:tcW w:w="2004" w:type="pct"/>
            <w:tcBorders>
              <w:top w:val="single" w:color="000000" w:sz="4" w:space="0"/>
              <w:left w:val="single" w:color="000000" w:sz="4" w:space="0"/>
              <w:bottom w:val="single" w:color="000000" w:sz="4" w:space="0"/>
              <w:right w:val="single" w:color="000000" w:sz="4" w:space="0"/>
            </w:tcBorders>
            <w:vAlign w:val="center"/>
          </w:tcPr>
          <w:p>
            <w:pPr>
              <w:pStyle w:val="24"/>
              <w:kinsoku w:val="0"/>
              <w:overflowPunct w:val="0"/>
              <w:adjustRightInd w:val="0"/>
              <w:snapToGrid w:val="0"/>
              <w:spacing w:before="86"/>
              <w:ind w:left="277" w:right="271"/>
              <w:jc w:val="center"/>
              <w:rPr>
                <w:rFonts w:ascii="仿宋" w:hAnsi="仿宋" w:eastAsia="仿宋"/>
                <w:sz w:val="24"/>
                <w:highlight w:val="none"/>
              </w:rPr>
            </w:pPr>
            <w:r>
              <w:rPr>
                <w:rFonts w:hint="eastAsia" w:ascii="仿宋" w:hAnsi="仿宋" w:eastAsia="仿宋"/>
                <w:sz w:val="24"/>
                <w:highlight w:val="none"/>
              </w:rPr>
              <w:t>年   月   日   时   分</w:t>
            </w:r>
          </w:p>
        </w:tc>
        <w:tc>
          <w:tcPr>
            <w:tcW w:w="1183" w:type="pct"/>
            <w:vMerge w:val="continue"/>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adjustRightInd w:val="0"/>
              <w:snapToGrid w:val="0"/>
              <w:jc w:val="center"/>
              <w:rPr>
                <w:rFonts w:ascii="仿宋" w:hAnsi="仿宋" w:eastAsia="仿宋" w:cs="宋体"/>
                <w:b/>
                <w:bCs/>
                <w:sz w:val="24"/>
                <w:szCs w:val="24"/>
                <w:highlight w:val="none"/>
              </w:rPr>
            </w:pPr>
          </w:p>
        </w:tc>
        <w:tc>
          <w:tcPr>
            <w:tcW w:w="493" w:type="pct"/>
            <w:vMerge w:val="continue"/>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adjustRightInd w:val="0"/>
              <w:snapToGrid w:val="0"/>
              <w:jc w:val="center"/>
              <w:rPr>
                <w:rFonts w:ascii="仿宋" w:hAnsi="仿宋" w:eastAsia="仿宋" w:cs="宋体"/>
                <w:b/>
                <w:bCs/>
                <w:sz w:val="24"/>
                <w:szCs w:val="24"/>
                <w:highlight w:val="none"/>
              </w:rPr>
            </w:pPr>
          </w:p>
        </w:tc>
      </w:tr>
    </w:tbl>
    <w:p>
      <w:pPr>
        <w:pStyle w:val="8"/>
        <w:kinsoku w:val="0"/>
        <w:overflowPunct w:val="0"/>
        <w:adjustRightInd w:val="0"/>
        <w:snapToGrid w:val="0"/>
        <w:spacing w:line="360" w:lineRule="auto"/>
        <w:ind w:firstLine="442" w:firstLineChars="200"/>
        <w:rPr>
          <w:rFonts w:ascii="仿宋" w:hAnsi="仿宋" w:eastAsia="仿宋"/>
          <w:spacing w:val="-10"/>
          <w:sz w:val="24"/>
          <w:szCs w:val="24"/>
          <w:highlight w:val="none"/>
        </w:rPr>
      </w:pPr>
      <w:r>
        <w:rPr>
          <w:rFonts w:hint="eastAsia" w:ascii="仿宋" w:hAnsi="仿宋" w:eastAsia="仿宋"/>
          <w:b/>
          <w:bCs/>
          <w:spacing w:val="-10"/>
          <w:sz w:val="24"/>
          <w:szCs w:val="24"/>
          <w:highlight w:val="none"/>
        </w:rPr>
        <w:t>使用说明：</w:t>
      </w:r>
      <w:r>
        <w:rPr>
          <w:rFonts w:hint="eastAsia" w:ascii="仿宋" w:hAnsi="仿宋" w:eastAsia="仿宋"/>
          <w:spacing w:val="-3"/>
          <w:sz w:val="24"/>
          <w:szCs w:val="24"/>
          <w:highlight w:val="none"/>
        </w:rPr>
        <w:t>本确认函用作投标人已进行现场踏勘的有效证明。其中第一联留</w:t>
      </w:r>
      <w:r>
        <w:rPr>
          <w:rFonts w:hint="eastAsia" w:ascii="仿宋" w:hAnsi="仿宋" w:eastAsia="仿宋"/>
          <w:spacing w:val="-10"/>
          <w:sz w:val="24"/>
          <w:szCs w:val="24"/>
          <w:highlight w:val="none"/>
        </w:rPr>
        <w:t>存于招标单位，第二联原件必须由投标人装订在投标文件的正本，以证明已按招标文件规定的时间进行了现场踏勘。</w:t>
      </w:r>
    </w:p>
    <w:p>
      <w:pPr>
        <w:widowControl/>
        <w:jc w:val="left"/>
        <w:rPr>
          <w:rFonts w:ascii="仿宋" w:hAnsi="仿宋" w:eastAsia="仿宋" w:cs="仿宋"/>
          <w:color w:val="000000"/>
          <w:kern w:val="0"/>
          <w:sz w:val="28"/>
          <w:szCs w:val="28"/>
          <w:highlight w:val="none"/>
        </w:rPr>
      </w:pPr>
      <w:r>
        <w:rPr>
          <w:rFonts w:ascii="仿宋" w:hAnsi="仿宋" w:eastAsia="仿宋" w:cs="仿宋"/>
          <w:sz w:val="28"/>
          <w:szCs w:val="28"/>
          <w:highlight w:val="none"/>
        </w:rPr>
        <w:br w:type="page"/>
      </w:r>
    </w:p>
    <w:p>
      <w:pPr>
        <w:pStyle w:val="5"/>
        <w:rPr>
          <w:rFonts w:ascii="仿宋" w:hAnsi="仿宋" w:cs="仿宋"/>
          <w:highlight w:val="none"/>
        </w:rPr>
      </w:pPr>
      <w:r>
        <w:rPr>
          <w:rFonts w:hint="eastAsia" w:ascii="仿宋" w:hAnsi="仿宋" w:cs="仿宋"/>
          <w:highlight w:val="none"/>
        </w:rPr>
        <w:t>六、投标文件组成</w:t>
      </w:r>
    </w:p>
    <w:p>
      <w:pPr>
        <w:widowControl/>
        <w:spacing w:line="440" w:lineRule="exact"/>
        <w:ind w:firstLine="560" w:firstLineChars="200"/>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1.投标函（格式见</w:t>
      </w:r>
      <w:r>
        <w:rPr>
          <w:rFonts w:hint="eastAsia" w:ascii="仿宋" w:hAnsi="仿宋" w:eastAsia="仿宋" w:cs="仿宋"/>
          <w:color w:val="000000" w:themeColor="text1"/>
          <w:kern w:val="0"/>
          <w:sz w:val="28"/>
          <w:szCs w:val="28"/>
          <w:highlight w:val="none"/>
          <w:lang w:eastAsia="zh-CN"/>
          <w14:textFill>
            <w14:solidFill>
              <w14:schemeClr w14:val="tx1"/>
            </w14:solidFill>
          </w14:textFill>
        </w:rPr>
        <w:t>第三章</w:t>
      </w:r>
      <w:r>
        <w:rPr>
          <w:rFonts w:hint="eastAsia" w:ascii="仿宋" w:hAnsi="仿宋" w:eastAsia="仿宋" w:cs="仿宋"/>
          <w:color w:val="000000" w:themeColor="text1"/>
          <w:kern w:val="0"/>
          <w:sz w:val="28"/>
          <w:szCs w:val="28"/>
          <w:highlight w:val="none"/>
          <w14:textFill>
            <w14:solidFill>
              <w14:schemeClr w14:val="tx1"/>
            </w14:solidFill>
          </w14:textFill>
        </w:rPr>
        <w:t>）。</w:t>
      </w:r>
    </w:p>
    <w:p>
      <w:pPr>
        <w:widowControl/>
        <w:spacing w:line="440" w:lineRule="exact"/>
        <w:ind w:firstLine="560" w:firstLineChars="200"/>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2.投标报价表（格式见</w:t>
      </w:r>
      <w:r>
        <w:rPr>
          <w:rFonts w:hint="eastAsia" w:ascii="仿宋" w:hAnsi="仿宋" w:eastAsia="仿宋" w:cs="仿宋"/>
          <w:color w:val="000000" w:themeColor="text1"/>
          <w:kern w:val="0"/>
          <w:sz w:val="28"/>
          <w:szCs w:val="28"/>
          <w:highlight w:val="none"/>
          <w:lang w:eastAsia="zh-CN"/>
          <w14:textFill>
            <w14:solidFill>
              <w14:schemeClr w14:val="tx1"/>
            </w14:solidFill>
          </w14:textFill>
        </w:rPr>
        <w:t>第三章</w:t>
      </w:r>
      <w:r>
        <w:rPr>
          <w:rFonts w:hint="eastAsia" w:ascii="仿宋" w:hAnsi="仿宋" w:eastAsia="仿宋" w:cs="仿宋"/>
          <w:color w:val="000000" w:themeColor="text1"/>
          <w:kern w:val="0"/>
          <w:sz w:val="28"/>
          <w:szCs w:val="28"/>
          <w:highlight w:val="none"/>
          <w14:textFill>
            <w14:solidFill>
              <w14:schemeClr w14:val="tx1"/>
            </w14:solidFill>
          </w14:textFill>
        </w:rPr>
        <w:t>）：本项目采用总承包方式，投标人的报价应包含包装、仓储、运输装卸、保险、安装、安全、调试及其材料保管、备品备件、专用工具、伴随服务、人员培训发生的所有含税费用、支付给员工的工资和国家强制缴纳的各种社会保障资金，以及与本项目有关的所有一切费用。采购人不接受备选的投标方案或有选择的报价。</w:t>
      </w:r>
    </w:p>
    <w:p>
      <w:pPr>
        <w:widowControl/>
        <w:spacing w:line="440" w:lineRule="exact"/>
        <w:ind w:firstLine="560" w:firstLineChars="200"/>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3.资质证明材料</w:t>
      </w:r>
    </w:p>
    <w:p>
      <w:pPr>
        <w:widowControl/>
        <w:spacing w:line="440" w:lineRule="exact"/>
        <w:ind w:firstLine="560" w:firstLineChars="200"/>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3.1法人投标，提供法定代表人资格证明（原件，格式见</w:t>
      </w:r>
      <w:r>
        <w:rPr>
          <w:rFonts w:hint="eastAsia" w:ascii="仿宋" w:hAnsi="仿宋" w:eastAsia="仿宋" w:cs="仿宋"/>
          <w:color w:val="000000" w:themeColor="text1"/>
          <w:kern w:val="0"/>
          <w:sz w:val="28"/>
          <w:szCs w:val="28"/>
          <w:highlight w:val="none"/>
          <w:lang w:eastAsia="zh-CN"/>
          <w14:textFill>
            <w14:solidFill>
              <w14:schemeClr w14:val="tx1"/>
            </w14:solidFill>
          </w14:textFill>
        </w:rPr>
        <w:t>第三章</w:t>
      </w:r>
      <w:r>
        <w:rPr>
          <w:rFonts w:hint="eastAsia" w:ascii="仿宋" w:hAnsi="仿宋" w:eastAsia="仿宋" w:cs="仿宋"/>
          <w:color w:val="000000" w:themeColor="text1"/>
          <w:kern w:val="0"/>
          <w:sz w:val="28"/>
          <w:szCs w:val="28"/>
          <w:highlight w:val="none"/>
          <w14:textFill>
            <w14:solidFill>
              <w14:schemeClr w14:val="tx1"/>
            </w14:solidFill>
          </w14:textFill>
        </w:rPr>
        <w:t>）和法人身份证（复印件并加盖投标人公章，原件带至投标现场备查）；授权委托人投标，提供法人授权委托书（原件，格式见</w:t>
      </w:r>
      <w:r>
        <w:rPr>
          <w:rFonts w:hint="eastAsia" w:ascii="仿宋" w:hAnsi="仿宋" w:eastAsia="仿宋" w:cs="仿宋"/>
          <w:color w:val="000000" w:themeColor="text1"/>
          <w:kern w:val="0"/>
          <w:sz w:val="28"/>
          <w:szCs w:val="28"/>
          <w:highlight w:val="none"/>
          <w:lang w:eastAsia="zh-CN"/>
          <w14:textFill>
            <w14:solidFill>
              <w14:schemeClr w14:val="tx1"/>
            </w14:solidFill>
          </w14:textFill>
        </w:rPr>
        <w:t>第三章</w:t>
      </w:r>
      <w:r>
        <w:rPr>
          <w:rFonts w:hint="eastAsia" w:ascii="仿宋" w:hAnsi="仿宋" w:eastAsia="仿宋" w:cs="仿宋"/>
          <w:color w:val="000000" w:themeColor="text1"/>
          <w:kern w:val="0"/>
          <w:sz w:val="28"/>
          <w:szCs w:val="28"/>
          <w:highlight w:val="none"/>
          <w14:textFill>
            <w14:solidFill>
              <w14:schemeClr w14:val="tx1"/>
            </w14:solidFill>
          </w14:textFill>
        </w:rPr>
        <w:t>）、法人身份证（复印件并加盖投标人公章）和授权委托人身份证（复印件并加盖投标人公章，原件带至投标现场备查）。</w:t>
      </w:r>
    </w:p>
    <w:p>
      <w:pPr>
        <w:pStyle w:val="7"/>
        <w:ind w:firstLine="560" w:firstLineChars="200"/>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3.2营业执照和资质证书及</w:t>
      </w:r>
      <w:r>
        <w:rPr>
          <w:rFonts w:hint="eastAsia" w:ascii="仿宋" w:hAnsi="仿宋" w:eastAsia="仿宋" w:cs="仿宋"/>
          <w:sz w:val="28"/>
          <w:szCs w:val="28"/>
          <w:highlight w:val="none"/>
        </w:rPr>
        <w:t>安全生产许可证</w:t>
      </w:r>
      <w:r>
        <w:rPr>
          <w:rFonts w:hint="eastAsia" w:ascii="仿宋" w:hAnsi="仿宋" w:eastAsia="仿宋" w:cs="仿宋"/>
          <w:color w:val="000000" w:themeColor="text1"/>
          <w:kern w:val="0"/>
          <w:sz w:val="28"/>
          <w:szCs w:val="28"/>
          <w:highlight w:val="none"/>
          <w14:textFill>
            <w14:solidFill>
              <w14:schemeClr w14:val="tx1"/>
            </w14:solidFill>
          </w14:textFill>
        </w:rPr>
        <w:t>（复印件并加盖投标人公章）。</w:t>
      </w:r>
    </w:p>
    <w:p>
      <w:pPr>
        <w:widowControl/>
        <w:spacing w:line="440" w:lineRule="exact"/>
        <w:ind w:firstLine="560" w:firstLineChars="200"/>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3.3参加政府采购活动前三年内在经营活动和招投标活动中没有重大违法记录的承诺书（格式见</w:t>
      </w:r>
      <w:r>
        <w:rPr>
          <w:rFonts w:hint="eastAsia" w:ascii="仿宋" w:hAnsi="仿宋" w:eastAsia="仿宋" w:cs="仿宋"/>
          <w:color w:val="000000" w:themeColor="text1"/>
          <w:kern w:val="0"/>
          <w:sz w:val="28"/>
          <w:szCs w:val="28"/>
          <w:highlight w:val="none"/>
          <w:lang w:eastAsia="zh-CN"/>
          <w14:textFill>
            <w14:solidFill>
              <w14:schemeClr w14:val="tx1"/>
            </w14:solidFill>
          </w14:textFill>
        </w:rPr>
        <w:t>第三章</w:t>
      </w:r>
      <w:r>
        <w:rPr>
          <w:rFonts w:hint="eastAsia" w:ascii="仿宋" w:hAnsi="仿宋" w:eastAsia="仿宋" w:cs="仿宋"/>
          <w:color w:val="000000" w:themeColor="text1"/>
          <w:kern w:val="0"/>
          <w:sz w:val="28"/>
          <w:szCs w:val="28"/>
          <w:highlight w:val="none"/>
          <w14:textFill>
            <w14:solidFill>
              <w14:schemeClr w14:val="tx1"/>
            </w14:solidFill>
          </w14:textFill>
        </w:rPr>
        <w:t>，加盖投标人公章）。</w:t>
      </w:r>
    </w:p>
    <w:p>
      <w:pPr>
        <w:widowControl/>
        <w:spacing w:line="440" w:lineRule="exact"/>
        <w:ind w:firstLine="560" w:firstLineChars="200"/>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3.4提供“具备履行合同所必需的设备和专业技术能力”的承诺书（格式自定，加盖投标人公章）。</w:t>
      </w:r>
    </w:p>
    <w:p>
      <w:pPr>
        <w:widowControl/>
        <w:spacing w:line="440" w:lineRule="exact"/>
        <w:ind w:firstLine="560" w:firstLineChars="200"/>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注:上述是对投标人资质审查时，投标人所必须要提供的资格证明文件，如投标人未能提供上述资格证明文件以及发现投标人的资质条件不符合招标文件要求，可随时取消其投标或中标资格。投标人所提供的资格证明材料应真实、有效，采购人保留对投标人提供的资格证明材料进行核查的权利。如发现投标人提供虚假资格证明材料，采购人将对其进行严肃处理。</w:t>
      </w:r>
    </w:p>
    <w:p>
      <w:pPr>
        <w:widowControl/>
        <w:spacing w:line="440" w:lineRule="exact"/>
        <w:ind w:firstLine="560" w:firstLineChars="200"/>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4.技术（服务、商务）要求响应承诺书（格式见</w:t>
      </w:r>
      <w:r>
        <w:rPr>
          <w:rFonts w:hint="eastAsia" w:ascii="仿宋" w:hAnsi="仿宋" w:eastAsia="仿宋" w:cs="仿宋"/>
          <w:color w:val="000000" w:themeColor="text1"/>
          <w:kern w:val="0"/>
          <w:sz w:val="28"/>
          <w:szCs w:val="28"/>
          <w:highlight w:val="none"/>
          <w:lang w:eastAsia="zh-CN"/>
          <w14:textFill>
            <w14:solidFill>
              <w14:schemeClr w14:val="tx1"/>
            </w14:solidFill>
          </w14:textFill>
        </w:rPr>
        <w:t>第三章</w:t>
      </w:r>
      <w:r>
        <w:rPr>
          <w:rFonts w:hint="eastAsia" w:ascii="仿宋" w:hAnsi="仿宋" w:eastAsia="仿宋" w:cs="仿宋"/>
          <w:color w:val="000000" w:themeColor="text1"/>
          <w:kern w:val="0"/>
          <w:sz w:val="28"/>
          <w:szCs w:val="28"/>
          <w:highlight w:val="none"/>
          <w14:textFill>
            <w14:solidFill>
              <w14:schemeClr w14:val="tx1"/>
            </w14:solidFill>
          </w14:textFill>
        </w:rPr>
        <w:t>）</w:t>
      </w:r>
    </w:p>
    <w:p>
      <w:pPr>
        <w:spacing w:line="440" w:lineRule="exact"/>
        <w:ind w:firstLine="562" w:firstLineChars="200"/>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b/>
          <w:color w:val="000000" w:themeColor="text1"/>
          <w:kern w:val="0"/>
          <w:sz w:val="28"/>
          <w:szCs w:val="28"/>
          <w:highlight w:val="none"/>
          <w14:textFill>
            <w14:solidFill>
              <w14:schemeClr w14:val="tx1"/>
            </w14:solidFill>
          </w14:textFill>
        </w:rPr>
        <w:t>投标人应对招标文件第二章中的技术（服务、商务等）要求作出完全响应承诺，不得负偏离，否则，作为无效投标</w:t>
      </w:r>
      <w:r>
        <w:rPr>
          <w:rFonts w:hint="eastAsia" w:ascii="仿宋" w:hAnsi="仿宋" w:eastAsia="仿宋" w:cs="仿宋"/>
          <w:color w:val="000000" w:themeColor="text1"/>
          <w:kern w:val="0"/>
          <w:sz w:val="28"/>
          <w:szCs w:val="28"/>
          <w:highlight w:val="none"/>
          <w14:textFill>
            <w14:solidFill>
              <w14:schemeClr w14:val="tx1"/>
            </w14:solidFill>
          </w14:textFill>
        </w:rPr>
        <w:t>。</w:t>
      </w:r>
    </w:p>
    <w:p>
      <w:pPr>
        <w:spacing w:line="440" w:lineRule="exact"/>
        <w:ind w:firstLine="560" w:firstLineChars="200"/>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5.投标人20</w:t>
      </w:r>
      <w:r>
        <w:rPr>
          <w:rFonts w:ascii="仿宋" w:hAnsi="仿宋" w:eastAsia="仿宋" w:cs="仿宋"/>
          <w:color w:val="000000" w:themeColor="text1"/>
          <w:kern w:val="0"/>
          <w:sz w:val="28"/>
          <w:szCs w:val="28"/>
          <w:highlight w:val="none"/>
          <w14:textFill>
            <w14:solidFill>
              <w14:schemeClr w14:val="tx1"/>
            </w14:solidFill>
          </w14:textFill>
        </w:rPr>
        <w:t>2</w:t>
      </w:r>
      <w:r>
        <w:rPr>
          <w:rFonts w:hint="eastAsia" w:ascii="仿宋" w:hAnsi="仿宋" w:eastAsia="仿宋" w:cs="仿宋"/>
          <w:color w:val="000000" w:themeColor="text1"/>
          <w:kern w:val="0"/>
          <w:sz w:val="28"/>
          <w:szCs w:val="28"/>
          <w:highlight w:val="none"/>
          <w14:textFill>
            <w14:solidFill>
              <w14:schemeClr w14:val="tx1"/>
            </w14:solidFill>
          </w14:textFill>
        </w:rPr>
        <w:t>0年7月以来与本项目相关的业绩目录（格式见</w:t>
      </w:r>
      <w:r>
        <w:rPr>
          <w:rFonts w:hint="eastAsia" w:ascii="仿宋" w:hAnsi="仿宋" w:eastAsia="仿宋" w:cs="仿宋"/>
          <w:color w:val="000000" w:themeColor="text1"/>
          <w:kern w:val="0"/>
          <w:sz w:val="28"/>
          <w:szCs w:val="28"/>
          <w:highlight w:val="none"/>
          <w:lang w:eastAsia="zh-CN"/>
          <w14:textFill>
            <w14:solidFill>
              <w14:schemeClr w14:val="tx1"/>
            </w14:solidFill>
          </w14:textFill>
        </w:rPr>
        <w:t>第三章</w:t>
      </w:r>
      <w:r>
        <w:rPr>
          <w:rFonts w:hint="eastAsia" w:ascii="仿宋" w:hAnsi="仿宋" w:eastAsia="仿宋" w:cs="仿宋"/>
          <w:color w:val="000000" w:themeColor="text1"/>
          <w:kern w:val="0"/>
          <w:sz w:val="28"/>
          <w:szCs w:val="28"/>
          <w:highlight w:val="none"/>
          <w14:textFill>
            <w14:solidFill>
              <w14:schemeClr w14:val="tx1"/>
            </w14:solidFill>
          </w14:textFill>
        </w:rPr>
        <w:t>）及合同复印件等材料，合同原件备查。</w:t>
      </w:r>
    </w:p>
    <w:p>
      <w:pPr>
        <w:widowControl/>
        <w:shd w:val="clear" w:color="auto" w:fill="FFFFFF"/>
        <w:spacing w:line="440" w:lineRule="exact"/>
        <w:ind w:firstLine="440"/>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6.评分标准中涉及的材料。</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7</w:t>
      </w:r>
      <w:r>
        <w:rPr>
          <w:rFonts w:hint="eastAsia" w:ascii="仿宋" w:hAnsi="仿宋" w:eastAsia="仿宋" w:cs="仿宋"/>
          <w:color w:val="000000" w:themeColor="text1"/>
          <w:sz w:val="28"/>
          <w:szCs w:val="28"/>
          <w:highlight w:val="none"/>
          <w14:textFill>
            <w14:solidFill>
              <w14:schemeClr w14:val="tx1"/>
            </w14:solidFill>
          </w14:textFill>
        </w:rPr>
        <w:t>.投标人认为需要提供的其他相关材料。</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r>
        <w:rPr>
          <w:rFonts w:hint="eastAsia" w:ascii="仿宋" w:hAnsi="仿宋" w:eastAsia="仿宋" w:cs="仿宋"/>
          <w:color w:val="000000" w:themeColor="text1"/>
          <w:sz w:val="28"/>
          <w:szCs w:val="28"/>
          <w:highlight w:val="none"/>
          <w:lang w:val="en-US" w:eastAsia="zh-CN"/>
          <w14:textFill>
            <w14:solidFill>
              <w14:schemeClr w14:val="tx1"/>
            </w14:solidFill>
          </w14:textFill>
        </w:rPr>
        <w:t>7</w:t>
      </w:r>
      <w:r>
        <w:rPr>
          <w:rFonts w:hint="eastAsia" w:ascii="仿宋" w:hAnsi="仿宋" w:eastAsia="仿宋" w:cs="仿宋"/>
          <w:color w:val="000000" w:themeColor="text1"/>
          <w:sz w:val="28"/>
          <w:szCs w:val="28"/>
          <w:highlight w:val="none"/>
          <w14:textFill>
            <w14:solidFill>
              <w14:schemeClr w14:val="tx1"/>
            </w14:solidFill>
          </w14:textFill>
        </w:rPr>
        <w:t>项材料按顺序装订，上述有关原件带至开标现场备查。投标人须编制一式五份投标文件（包括一份正本和四份副本），每份投标文件右上角必须清楚地标明“正本”或“副本”字样，一旦正本和副本不符，以正本为准。投标文件的正本应打印或用不褪色墨水书写；投标文件的副本可打印或用不褪色墨水书写，也可采用正本的复印件。投标文件提倡按照A4幅面打印或复印，并进行装订，如有资料超过A4幅面折叠成A4幅面；投标文件装订提倡采用胶装的形式。投标文件应编制目录，标注页码，应按要求加盖投标人公章；全套投标文件应无修改和行间插字、字上贴字，如有修改，须在修改处加盖投标单位法定代表人或其委托代理人签名或印鉴；投标人必须使用本招标文件</w:t>
      </w:r>
      <w:r>
        <w:rPr>
          <w:rFonts w:hint="eastAsia" w:ascii="仿宋" w:hAnsi="仿宋" w:eastAsia="仿宋" w:cs="仿宋"/>
          <w:color w:val="000000" w:themeColor="text1"/>
          <w:sz w:val="28"/>
          <w:szCs w:val="28"/>
          <w:highlight w:val="none"/>
          <w:lang w:eastAsia="zh-CN"/>
          <w14:textFill>
            <w14:solidFill>
              <w14:schemeClr w14:val="tx1"/>
            </w14:solidFill>
          </w14:textFill>
        </w:rPr>
        <w:t>第三章</w:t>
      </w:r>
      <w:r>
        <w:rPr>
          <w:rFonts w:hint="eastAsia" w:ascii="仿宋" w:hAnsi="仿宋" w:eastAsia="仿宋" w:cs="仿宋"/>
          <w:color w:val="000000" w:themeColor="text1"/>
          <w:sz w:val="28"/>
          <w:szCs w:val="28"/>
          <w:highlight w:val="none"/>
          <w14:textFill>
            <w14:solidFill>
              <w14:schemeClr w14:val="tx1"/>
            </w14:solidFill>
          </w14:textFill>
        </w:rPr>
        <w:t>提供的投标文件样式。投标文件须装在文件袋中并密封加盖单位公章（本招标文件所表述的公章是指刻有投标人法定名称的印章，不包括合同、财务、税务、发票等形式的业务专用章），投标文件封面和材料袋封面样式见</w:t>
      </w:r>
      <w:r>
        <w:rPr>
          <w:rFonts w:hint="eastAsia" w:ascii="仿宋" w:hAnsi="仿宋" w:eastAsia="仿宋" w:cs="仿宋"/>
          <w:color w:val="000000" w:themeColor="text1"/>
          <w:sz w:val="28"/>
          <w:szCs w:val="28"/>
          <w:highlight w:val="none"/>
          <w:lang w:eastAsia="zh-CN"/>
          <w14:textFill>
            <w14:solidFill>
              <w14:schemeClr w14:val="tx1"/>
            </w14:solidFill>
          </w14:textFill>
        </w:rPr>
        <w:t>第三章</w:t>
      </w:r>
      <w:r>
        <w:rPr>
          <w:rFonts w:hint="eastAsia" w:ascii="仿宋" w:hAnsi="仿宋" w:eastAsia="仿宋" w:cs="仿宋"/>
          <w:color w:val="000000" w:themeColor="text1"/>
          <w:sz w:val="28"/>
          <w:szCs w:val="28"/>
          <w:highlight w:val="none"/>
          <w14:textFill>
            <w14:solidFill>
              <w14:schemeClr w14:val="tx1"/>
            </w14:solidFill>
          </w14:textFill>
        </w:rPr>
        <w:t>。所有证件、证书加注水印或直接标注“仅供参加南昌职业大学招标用”字，未加注者责任自负。</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投标人应承担其编制投标文件、递交投标文件等所涉及的一切费用，无论评标结果如何，采购人对上述费用均不负任何责任。投标人自行保留投标文件底稿，评标结束，采购人保留一正二副投标文件，多余投标文件由投标人在开标评标结束当天自行拿走，未拿走的投标文件视同投标人同意采购人可以自行处置，而不需承担任何责任。</w:t>
      </w:r>
    </w:p>
    <w:p>
      <w:pPr>
        <w:pStyle w:val="5"/>
        <w:rPr>
          <w:rFonts w:ascii="仿宋" w:hAnsi="仿宋" w:cs="仿宋"/>
          <w:highlight w:val="none"/>
        </w:rPr>
      </w:pPr>
      <w:r>
        <w:rPr>
          <w:rFonts w:hint="eastAsia" w:ascii="仿宋" w:hAnsi="仿宋" w:cs="仿宋"/>
          <w:highlight w:val="none"/>
        </w:rPr>
        <w:t>七、投标文件递交时间、地点</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1.投标文件递交时间</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2024年1月13日下午16点前</w:t>
      </w:r>
      <w:r>
        <w:rPr>
          <w:rFonts w:hint="eastAsia" w:ascii="仿宋" w:hAnsi="仿宋" w:eastAsia="仿宋" w:cs="仿宋"/>
          <w:color w:val="000000" w:themeColor="text1"/>
          <w:sz w:val="28"/>
          <w:szCs w:val="28"/>
          <w:highlight w:val="none"/>
          <w14:textFill>
            <w14:solidFill>
              <w14:schemeClr w14:val="tx1"/>
            </w14:solidFill>
          </w14:textFill>
        </w:rPr>
        <w:t>。采购人拒绝接收在规定的投标截止时间后递交的任何投标文件。</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投标人须安排健康人员参加投标、开标活动，现场服从学校管理。</w:t>
      </w:r>
    </w:p>
    <w:p>
      <w:pPr>
        <w:spacing w:line="440" w:lineRule="exact"/>
        <w:ind w:firstLine="560" w:firstLineChars="200"/>
        <w:rPr>
          <w:highlight w:val="none"/>
        </w:rPr>
      </w:pPr>
      <w:r>
        <w:rPr>
          <w:rFonts w:hint="eastAsia" w:ascii="仿宋" w:hAnsi="仿宋" w:eastAsia="仿宋" w:cs="仿宋"/>
          <w:color w:val="000000" w:themeColor="text1"/>
          <w:sz w:val="28"/>
          <w:szCs w:val="28"/>
          <w:highlight w:val="none"/>
          <w14:textFill>
            <w14:solidFill>
              <w14:schemeClr w14:val="tx1"/>
            </w14:solidFill>
          </w14:textFill>
        </w:rPr>
        <w:t>2.投标文件</w:t>
      </w:r>
      <w:r>
        <w:rPr>
          <w:rFonts w:hint="eastAsia" w:ascii="仿宋" w:hAnsi="仿宋" w:eastAsia="仿宋" w:cs="仿宋"/>
          <w:color w:val="000000" w:themeColor="text1"/>
          <w:sz w:val="28"/>
          <w:szCs w:val="28"/>
          <w:highlight w:val="none"/>
          <w14:textFill>
            <w14:solidFill>
              <w14:schemeClr w14:val="tx1"/>
            </w14:solidFill>
          </w14:textFill>
        </w:rPr>
        <w:t>邮寄</w:t>
      </w:r>
      <w:r>
        <w:rPr>
          <w:rFonts w:hint="eastAsia" w:ascii="仿宋" w:hAnsi="仿宋" w:eastAsia="仿宋" w:cs="仿宋"/>
          <w:color w:val="000000" w:themeColor="text1"/>
          <w:sz w:val="28"/>
          <w:szCs w:val="28"/>
          <w:highlight w:val="none"/>
          <w14:textFill>
            <w14:solidFill>
              <w14:schemeClr w14:val="tx1"/>
            </w14:solidFill>
          </w14:textFill>
        </w:rPr>
        <w:t>地点：</w:t>
      </w:r>
      <w:r>
        <w:rPr>
          <w:rFonts w:hint="eastAsia" w:ascii="仿宋" w:hAnsi="仿宋" w:eastAsia="仿宋" w:cs="仿宋"/>
          <w:color w:val="000000" w:themeColor="text1"/>
          <w:sz w:val="28"/>
          <w:szCs w:val="28"/>
          <w:highlight w:val="none"/>
          <w14:textFill>
            <w14:solidFill>
              <w14:schemeClr w14:val="tx1"/>
            </w14:solidFill>
          </w14:textFill>
        </w:rPr>
        <w:t>江西省南昌市安义县前进东路8号南昌职业大学办公楼210室</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3.投标有效期</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从提交投标文件的截止之日起90天。投标文件中承诺投标有效期少于90天的，作无效投标处理。在特殊情况下，采购人于原投标有效期满之前，可向投标人提出延长投标有效期的要求，这种要求与答复均应采用书面形式如信件、传真或电报等。投标人可以拒绝接受这一要求而放弃投标；同意延长的投标人既不能要求也不允许修改其投标文件，同时受投标有效期约束的所有权利与义务均延长至新的有效期。</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4.投标文件的修改和撤回</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投标人在递交投标文件后可以对其修改或撤回，但这种修改和撤回，必须在规定的投标截止时间前。投标人不得在投标截止时间起至投标有效期满前撤回投标文件。</w:t>
      </w:r>
    </w:p>
    <w:p>
      <w:pPr>
        <w:pStyle w:val="5"/>
        <w:rPr>
          <w:rFonts w:ascii="仿宋" w:hAnsi="仿宋" w:cs="仿宋"/>
          <w:highlight w:val="none"/>
        </w:rPr>
      </w:pPr>
      <w:r>
        <w:rPr>
          <w:rFonts w:hint="eastAsia" w:ascii="仿宋" w:hAnsi="仿宋" w:cs="仿宋"/>
          <w:highlight w:val="none"/>
        </w:rPr>
        <w:t>八、开标时间及地点</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1.开标时间：</w:t>
      </w:r>
      <w:r>
        <w:rPr>
          <w:rFonts w:hint="eastAsia" w:ascii="仿宋" w:hAnsi="仿宋" w:eastAsia="仿宋" w:cs="仿宋"/>
          <w:color w:val="000000" w:themeColor="text1"/>
          <w:sz w:val="28"/>
          <w:szCs w:val="28"/>
          <w:highlight w:val="none"/>
          <w14:textFill>
            <w14:solidFill>
              <w14:schemeClr w14:val="tx1"/>
            </w14:solidFill>
          </w14:textFill>
        </w:rPr>
        <w:t>2024年1月15日下午14:20；</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2.开标地点：</w:t>
      </w:r>
      <w:r>
        <w:rPr>
          <w:rFonts w:hint="eastAsia" w:ascii="仿宋" w:hAnsi="仿宋" w:eastAsia="仿宋" w:cs="仿宋"/>
          <w:color w:val="000000" w:themeColor="text1"/>
          <w:sz w:val="28"/>
          <w:szCs w:val="28"/>
          <w:highlight w:val="none"/>
          <w14:textFill>
            <w14:solidFill>
              <w14:schemeClr w14:val="tx1"/>
            </w14:solidFill>
          </w14:textFill>
        </w:rPr>
        <w:t>江西省南昌市安义县前进东路8号南昌职业大学办公楼208会议室。</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3.投标人应派代表（持授权代表身份证明）参加开标，投标人未派代表参加开标的，视为默认开标结果。</w:t>
      </w:r>
    </w:p>
    <w:p>
      <w:pPr>
        <w:pStyle w:val="5"/>
        <w:rPr>
          <w:rFonts w:ascii="仿宋" w:hAnsi="仿宋" w:cs="仿宋"/>
          <w:highlight w:val="none"/>
        </w:rPr>
      </w:pPr>
      <w:r>
        <w:rPr>
          <w:rFonts w:hint="eastAsia" w:ascii="仿宋" w:hAnsi="仿宋" w:cs="仿宋"/>
          <w:highlight w:val="none"/>
        </w:rPr>
        <w:t>九、评标办法</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本项目采用综合评分法。评标委员会（以下简称评委会）将本着公平、公正、公开原则，对通过资格审核的投标文件进行符合性审查，依据评分标准对于实质上响应招标文件要求的投标文件进行评价和比较。综合评分法，是指投标文件满足招标文件全部实质性要求,且按照评审因素的量化指标评审得分最高的投标人为中标候选人的评标方法。</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评委会将依据评分标准（见下表）进行评标，本评分标准的总分为100分。按评审后得分由高到低顺序排列。得分相同的，按投标报价由低到高顺序排列；得分且投标报价相同的并列，按技术得分高低顺序排列。投标文件满足招标文件全部实质性要求，且按照评审因素的量化指标评审得分最高的投标人为排名第一的中标候选人。</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若投标不足3家或实质性响应不足3家，采购人可以宣布项目流标或可采用竞争性磋商等方式确定供货商。</w:t>
      </w:r>
    </w:p>
    <w:p>
      <w:pPr>
        <w:tabs>
          <w:tab w:val="left" w:pos="2820"/>
        </w:tabs>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评分标准</w:t>
      </w:r>
    </w:p>
    <w:tbl>
      <w:tblPr>
        <w:tblStyle w:val="14"/>
        <w:tblW w:w="8642" w:type="dxa"/>
        <w:jc w:val="center"/>
        <w:tblLayout w:type="autofit"/>
        <w:tblCellMar>
          <w:top w:w="0" w:type="dxa"/>
          <w:left w:w="108" w:type="dxa"/>
          <w:bottom w:w="0" w:type="dxa"/>
          <w:right w:w="108" w:type="dxa"/>
        </w:tblCellMar>
      </w:tblPr>
      <w:tblGrid>
        <w:gridCol w:w="457"/>
        <w:gridCol w:w="820"/>
        <w:gridCol w:w="836"/>
        <w:gridCol w:w="556"/>
        <w:gridCol w:w="5973"/>
      </w:tblGrid>
      <w:tr>
        <w:tblPrEx>
          <w:tblCellMar>
            <w:top w:w="0" w:type="dxa"/>
            <w:left w:w="108" w:type="dxa"/>
            <w:bottom w:w="0" w:type="dxa"/>
            <w:right w:w="108" w:type="dxa"/>
          </w:tblCellMar>
        </w:tblPrEx>
        <w:trPr>
          <w:trHeight w:val="576" w:hRule="atLeast"/>
          <w:jc w:val="center"/>
        </w:trPr>
        <w:tc>
          <w:tcPr>
            <w:tcW w:w="4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评</w:t>
            </w:r>
          </w:p>
          <w:p>
            <w:pPr>
              <w:widowControl/>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分</w:t>
            </w:r>
          </w:p>
          <w:p>
            <w:pPr>
              <w:widowControl/>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细</w:t>
            </w:r>
          </w:p>
          <w:p>
            <w:pPr>
              <w:widowControl/>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则</w:t>
            </w:r>
          </w:p>
        </w:tc>
        <w:tc>
          <w:tcPr>
            <w:tcW w:w="165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评标因素</w:t>
            </w:r>
          </w:p>
        </w:tc>
        <w:tc>
          <w:tcPr>
            <w:tcW w:w="5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权值</w:t>
            </w:r>
          </w:p>
        </w:tc>
        <w:tc>
          <w:tcPr>
            <w:tcW w:w="5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评分内容及打分办法</w:t>
            </w:r>
          </w:p>
        </w:tc>
      </w:tr>
      <w:tr>
        <w:tblPrEx>
          <w:tblCellMar>
            <w:top w:w="0" w:type="dxa"/>
            <w:left w:w="108" w:type="dxa"/>
            <w:bottom w:w="0" w:type="dxa"/>
            <w:right w:w="108" w:type="dxa"/>
          </w:tblCellMar>
        </w:tblPrEx>
        <w:trPr>
          <w:trHeight w:val="2400" w:hRule="atLeast"/>
          <w:jc w:val="center"/>
        </w:trPr>
        <w:tc>
          <w:tcPr>
            <w:tcW w:w="4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highlight w:val="none"/>
              </w:rPr>
            </w:pPr>
          </w:p>
        </w:tc>
        <w:tc>
          <w:tcPr>
            <w:tcW w:w="165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价格</w:t>
            </w:r>
          </w:p>
          <w:p>
            <w:pPr>
              <w:widowControl/>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（权值为30%）</w:t>
            </w:r>
          </w:p>
        </w:tc>
        <w:tc>
          <w:tcPr>
            <w:tcW w:w="5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30</w:t>
            </w:r>
          </w:p>
        </w:tc>
        <w:tc>
          <w:tcPr>
            <w:tcW w:w="5973" w:type="dxa"/>
            <w:tcBorders>
              <w:top w:val="nil"/>
              <w:left w:val="nil"/>
              <w:bottom w:val="single" w:color="auto" w:sz="4" w:space="0"/>
              <w:right w:val="single" w:color="auto" w:sz="4" w:space="0"/>
            </w:tcBorders>
            <w:shd w:val="clear" w:color="auto" w:fill="auto"/>
            <w:vAlign w:val="center"/>
          </w:tcPr>
          <w:p>
            <w:pPr>
              <w:widowControl/>
              <w:numPr>
                <w:ilvl w:val="0"/>
                <w:numId w:val="1"/>
              </w:numPr>
              <w:jc w:val="left"/>
              <w:rPr>
                <w:rFonts w:ascii="仿宋" w:hAnsi="仿宋" w:eastAsia="仿宋" w:cs="仿宋"/>
                <w:sz w:val="24"/>
                <w:szCs w:val="24"/>
                <w:highlight w:val="none"/>
              </w:rPr>
            </w:pPr>
            <w:r>
              <w:rPr>
                <w:rFonts w:hint="eastAsia" w:ascii="仿宋" w:hAnsi="仿宋" w:eastAsia="仿宋" w:cs="仿宋"/>
                <w:kern w:val="0"/>
                <w:sz w:val="24"/>
                <w:szCs w:val="24"/>
                <w:highlight w:val="none"/>
              </w:rPr>
              <w:t>投标人承诺的项目建设期投资总额不低于2</w:t>
            </w:r>
            <w:r>
              <w:rPr>
                <w:rFonts w:ascii="仿宋" w:hAnsi="仿宋" w:eastAsia="仿宋" w:cs="仿宋"/>
                <w:kern w:val="0"/>
                <w:sz w:val="24"/>
                <w:szCs w:val="24"/>
                <w:highlight w:val="none"/>
              </w:rPr>
              <w:t>50</w:t>
            </w:r>
            <w:r>
              <w:rPr>
                <w:rFonts w:hint="eastAsia" w:ascii="仿宋" w:hAnsi="仿宋" w:eastAsia="仿宋" w:cs="仿宋"/>
                <w:kern w:val="0"/>
                <w:sz w:val="24"/>
                <w:szCs w:val="24"/>
                <w:highlight w:val="none"/>
              </w:rPr>
              <w:t>万，得基础分5分，建设期投资额每增加10万，加1分，满分不超过1</w:t>
            </w:r>
            <w:r>
              <w:rPr>
                <w:rFonts w:ascii="仿宋" w:hAnsi="仿宋" w:eastAsia="仿宋" w:cs="仿宋"/>
                <w:kern w:val="0"/>
                <w:sz w:val="24"/>
                <w:szCs w:val="24"/>
                <w:highlight w:val="none"/>
              </w:rPr>
              <w:t>0</w:t>
            </w:r>
            <w:r>
              <w:rPr>
                <w:rFonts w:hint="eastAsia" w:ascii="仿宋" w:hAnsi="仿宋" w:eastAsia="仿宋" w:cs="仿宋"/>
                <w:kern w:val="0"/>
                <w:sz w:val="24"/>
                <w:szCs w:val="24"/>
                <w:highlight w:val="none"/>
              </w:rPr>
              <w:t>分；</w:t>
            </w:r>
            <w:r>
              <w:rPr>
                <w:rFonts w:hint="eastAsia" w:ascii="仿宋" w:hAnsi="仿宋" w:eastAsia="仿宋" w:cs="仿宋"/>
                <w:b/>
                <w:bCs/>
                <w:kern w:val="0"/>
                <w:sz w:val="24"/>
                <w:szCs w:val="24"/>
                <w:highlight w:val="none"/>
              </w:rPr>
              <w:t>（提供详细的项目建设期及运维期投资清单，并加盖公章）</w:t>
            </w:r>
          </w:p>
          <w:p>
            <w:pPr>
              <w:widowControl/>
              <w:numPr>
                <w:ilvl w:val="0"/>
                <w:numId w:val="1"/>
              </w:numPr>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年节水节水率不低于1</w:t>
            </w:r>
            <w:r>
              <w:rPr>
                <w:rFonts w:ascii="仿宋" w:hAnsi="仿宋" w:eastAsia="仿宋" w:cs="仿宋"/>
                <w:kern w:val="0"/>
                <w:sz w:val="24"/>
                <w:szCs w:val="24"/>
                <w:highlight w:val="none"/>
              </w:rPr>
              <w:t>5</w:t>
            </w:r>
            <w:r>
              <w:rPr>
                <w:rFonts w:hint="eastAsia" w:ascii="仿宋" w:hAnsi="仿宋" w:eastAsia="仿宋" w:cs="仿宋"/>
                <w:kern w:val="0"/>
                <w:sz w:val="24"/>
                <w:szCs w:val="24"/>
                <w:highlight w:val="none"/>
              </w:rPr>
              <w:t>%，得基础分5分，节水率每增加1%，加1分，满分不超过1</w:t>
            </w:r>
            <w:r>
              <w:rPr>
                <w:rFonts w:ascii="仿宋" w:hAnsi="仿宋" w:eastAsia="仿宋" w:cs="仿宋"/>
                <w:kern w:val="0"/>
                <w:sz w:val="24"/>
                <w:szCs w:val="24"/>
                <w:highlight w:val="none"/>
              </w:rPr>
              <w:t>0</w:t>
            </w:r>
            <w:r>
              <w:rPr>
                <w:rFonts w:hint="eastAsia" w:ascii="仿宋" w:hAnsi="仿宋" w:eastAsia="仿宋" w:cs="仿宋"/>
                <w:kern w:val="0"/>
                <w:sz w:val="24"/>
                <w:szCs w:val="24"/>
                <w:highlight w:val="none"/>
              </w:rPr>
              <w:t>分。</w:t>
            </w:r>
          </w:p>
          <w:p>
            <w:pPr>
              <w:widowControl/>
              <w:numPr>
                <w:ilvl w:val="0"/>
                <w:numId w:val="1"/>
              </w:numPr>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招标人节水效益分享比例不低于5</w:t>
            </w:r>
            <w:r>
              <w:rPr>
                <w:rFonts w:ascii="仿宋" w:hAnsi="仿宋" w:eastAsia="仿宋" w:cs="仿宋"/>
                <w:kern w:val="0"/>
                <w:sz w:val="24"/>
                <w:szCs w:val="24"/>
                <w:highlight w:val="none"/>
              </w:rPr>
              <w:t>%</w:t>
            </w:r>
            <w:r>
              <w:rPr>
                <w:rFonts w:hint="eastAsia" w:ascii="仿宋" w:hAnsi="仿宋" w:eastAsia="仿宋" w:cs="仿宋"/>
                <w:kern w:val="0"/>
                <w:sz w:val="24"/>
                <w:szCs w:val="24"/>
                <w:highlight w:val="none"/>
              </w:rPr>
              <w:t>，得基础分5分，招标人节水效益分享比例每增加1</w:t>
            </w:r>
            <w:r>
              <w:rPr>
                <w:rFonts w:ascii="仿宋" w:hAnsi="仿宋" w:eastAsia="仿宋" w:cs="仿宋"/>
                <w:kern w:val="0"/>
                <w:sz w:val="24"/>
                <w:szCs w:val="24"/>
                <w:highlight w:val="none"/>
              </w:rPr>
              <w:t>%</w:t>
            </w:r>
            <w:r>
              <w:rPr>
                <w:rFonts w:hint="eastAsia" w:ascii="仿宋" w:hAnsi="仿宋" w:eastAsia="仿宋" w:cs="仿宋"/>
                <w:kern w:val="0"/>
                <w:sz w:val="24"/>
                <w:szCs w:val="24"/>
                <w:highlight w:val="none"/>
              </w:rPr>
              <w:t>，加1分，满分不超过1</w:t>
            </w:r>
            <w:r>
              <w:rPr>
                <w:rFonts w:ascii="仿宋" w:hAnsi="仿宋" w:eastAsia="仿宋" w:cs="仿宋"/>
                <w:kern w:val="0"/>
                <w:sz w:val="24"/>
                <w:szCs w:val="24"/>
                <w:highlight w:val="none"/>
              </w:rPr>
              <w:t>0</w:t>
            </w:r>
            <w:r>
              <w:rPr>
                <w:rFonts w:hint="eastAsia" w:ascii="仿宋" w:hAnsi="仿宋" w:eastAsia="仿宋" w:cs="仿宋"/>
                <w:kern w:val="0"/>
                <w:sz w:val="24"/>
                <w:szCs w:val="24"/>
                <w:highlight w:val="none"/>
              </w:rPr>
              <w:t>分。</w:t>
            </w:r>
          </w:p>
          <w:p>
            <w:pPr>
              <w:widowControl/>
              <w:jc w:val="left"/>
              <w:rPr>
                <w:b/>
                <w:bCs/>
                <w:highlight w:val="none"/>
              </w:rPr>
            </w:pPr>
            <w:r>
              <w:rPr>
                <w:rFonts w:hint="eastAsia" w:ascii="仿宋" w:hAnsi="仿宋" w:eastAsia="仿宋" w:cs="仿宋"/>
                <w:b/>
                <w:bCs/>
                <w:kern w:val="0"/>
                <w:sz w:val="24"/>
                <w:szCs w:val="24"/>
                <w:highlight w:val="none"/>
              </w:rPr>
              <w:t>（须满足投标人项目投资收益≥项目建设期及运维期总投资额）</w:t>
            </w:r>
          </w:p>
        </w:tc>
      </w:tr>
      <w:tr>
        <w:tblPrEx>
          <w:tblCellMar>
            <w:top w:w="0" w:type="dxa"/>
            <w:left w:w="108" w:type="dxa"/>
            <w:bottom w:w="0" w:type="dxa"/>
            <w:right w:w="108" w:type="dxa"/>
          </w:tblCellMar>
        </w:tblPrEx>
        <w:trPr>
          <w:trHeight w:val="573" w:hRule="atLeast"/>
          <w:jc w:val="center"/>
        </w:trPr>
        <w:tc>
          <w:tcPr>
            <w:tcW w:w="4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highlight w:val="none"/>
              </w:rPr>
            </w:pPr>
          </w:p>
        </w:tc>
        <w:tc>
          <w:tcPr>
            <w:tcW w:w="820" w:type="dxa"/>
            <w:vMerge w:val="restart"/>
            <w:tcBorders>
              <w:top w:val="nil"/>
              <w:left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技术（权值为40%）</w:t>
            </w:r>
          </w:p>
        </w:tc>
        <w:tc>
          <w:tcPr>
            <w:tcW w:w="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技术创新</w:t>
            </w:r>
          </w:p>
        </w:tc>
        <w:tc>
          <w:tcPr>
            <w:tcW w:w="5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kern w:val="0"/>
                <w:sz w:val="24"/>
                <w:szCs w:val="24"/>
                <w:highlight w:val="none"/>
              </w:rPr>
            </w:pPr>
            <w:r>
              <w:rPr>
                <w:rFonts w:ascii="仿宋" w:hAnsi="仿宋" w:eastAsia="仿宋" w:cs="仿宋"/>
                <w:b/>
                <w:kern w:val="0"/>
                <w:sz w:val="24"/>
                <w:szCs w:val="24"/>
                <w:highlight w:val="none"/>
              </w:rPr>
              <w:t>15</w:t>
            </w:r>
          </w:p>
        </w:tc>
        <w:tc>
          <w:tcPr>
            <w:tcW w:w="597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（1）投标人具有国家版权局颁发的合同节水、用水、供水、节水监测、终端节水设备管理软件著作权，每提供一类得</w:t>
            </w:r>
            <w:r>
              <w:rPr>
                <w:rFonts w:ascii="仿宋" w:hAnsi="仿宋" w:eastAsia="仿宋" w:cs="仿宋"/>
                <w:kern w:val="0"/>
                <w:sz w:val="24"/>
                <w:szCs w:val="24"/>
                <w:highlight w:val="none"/>
              </w:rPr>
              <w:t>2</w:t>
            </w:r>
            <w:r>
              <w:rPr>
                <w:rFonts w:hint="eastAsia" w:ascii="仿宋" w:hAnsi="仿宋" w:eastAsia="仿宋" w:cs="仿宋"/>
                <w:kern w:val="0"/>
                <w:sz w:val="24"/>
                <w:szCs w:val="24"/>
                <w:highlight w:val="none"/>
              </w:rPr>
              <w:t>分，满分</w:t>
            </w:r>
            <w:r>
              <w:rPr>
                <w:rFonts w:ascii="仿宋" w:hAnsi="仿宋" w:eastAsia="仿宋" w:cs="仿宋"/>
                <w:kern w:val="0"/>
                <w:sz w:val="24"/>
                <w:szCs w:val="24"/>
                <w:highlight w:val="none"/>
              </w:rPr>
              <w:t>10</w:t>
            </w:r>
            <w:r>
              <w:rPr>
                <w:rFonts w:hint="eastAsia" w:ascii="仿宋" w:hAnsi="仿宋" w:eastAsia="仿宋" w:cs="仿宋"/>
                <w:kern w:val="0"/>
                <w:sz w:val="24"/>
                <w:szCs w:val="24"/>
                <w:highlight w:val="none"/>
              </w:rPr>
              <w:t>分；</w:t>
            </w:r>
          </w:p>
          <w:p>
            <w:pPr>
              <w:widowControl/>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（2）投标人具有省级及以上专业权威政府机构颁发的供水管网渗漏监测工程技术研究中心称号，得2分；</w:t>
            </w:r>
          </w:p>
          <w:p>
            <w:pPr>
              <w:widowControl/>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（3）投标人具有国家知识产权局颁发的管网智能探漏技术相关的技术专利，每提供一份得1分，满分3分。</w:t>
            </w:r>
          </w:p>
          <w:p>
            <w:pPr>
              <w:widowControl/>
              <w:jc w:val="left"/>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（响应文件中需提供相关证书复印件，并加盖投标人公章，不提供不得分）</w:t>
            </w:r>
          </w:p>
        </w:tc>
      </w:tr>
      <w:tr>
        <w:tblPrEx>
          <w:tblCellMar>
            <w:top w:w="0" w:type="dxa"/>
            <w:left w:w="108" w:type="dxa"/>
            <w:bottom w:w="0" w:type="dxa"/>
            <w:right w:w="108" w:type="dxa"/>
          </w:tblCellMar>
        </w:tblPrEx>
        <w:trPr>
          <w:trHeight w:val="872" w:hRule="atLeast"/>
          <w:jc w:val="center"/>
        </w:trPr>
        <w:tc>
          <w:tcPr>
            <w:tcW w:w="4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highlight w:val="none"/>
              </w:rPr>
            </w:pPr>
          </w:p>
        </w:tc>
        <w:tc>
          <w:tcPr>
            <w:tcW w:w="820" w:type="dxa"/>
            <w:vMerge w:val="continue"/>
            <w:tcBorders>
              <w:top w:val="nil"/>
              <w:left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highlight w:val="none"/>
              </w:rPr>
            </w:pPr>
          </w:p>
        </w:tc>
        <w:tc>
          <w:tcPr>
            <w:tcW w:w="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产品技术要求</w:t>
            </w:r>
          </w:p>
        </w:tc>
        <w:tc>
          <w:tcPr>
            <w:tcW w:w="5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10</w:t>
            </w:r>
          </w:p>
        </w:tc>
        <w:tc>
          <w:tcPr>
            <w:tcW w:w="597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（1）投标人提供水表计量设备为超声波远传水表，计量精度不小于2级、量程比Q3/Q1不小于250、</w:t>
            </w:r>
            <w:r>
              <w:rPr>
                <w:rFonts w:hint="eastAsia" w:ascii="仿宋" w:hAnsi="仿宋" w:eastAsia="仿宋" w:cs="仿宋"/>
                <w:sz w:val="24"/>
                <w:szCs w:val="24"/>
                <w:highlight w:val="none"/>
              </w:rPr>
              <w:t>电磁环境等级不低于E1级</w:t>
            </w:r>
            <w:r>
              <w:rPr>
                <w:rFonts w:hint="eastAsia" w:ascii="仿宋" w:hAnsi="仿宋" w:eastAsia="仿宋" w:cs="仿宋"/>
                <w:kern w:val="0"/>
                <w:sz w:val="24"/>
                <w:szCs w:val="24"/>
                <w:highlight w:val="none"/>
              </w:rPr>
              <w:t>，每提供一项得1分，满分3分；</w:t>
            </w:r>
          </w:p>
          <w:p>
            <w:pPr>
              <w:widowControl/>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2）投标人自有智能探漏设备具有漏点定位功能、定位精度误差≤1%、可支持LoRa/4G/NB-IoT任一通讯方式、探测距离不小于200米、防水等级为IP68、具有防盗定位功能、具有触摸唤醒功能，每提供一项得1分，满分7分。</w:t>
            </w:r>
          </w:p>
          <w:p>
            <w:pPr>
              <w:widowControl/>
              <w:jc w:val="left"/>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（响应文件中提供市级及以上权威检测机构出具的检测报告等相关证明文件复印件并加盖投标人公章，原件备查，不提供不得分）</w:t>
            </w:r>
          </w:p>
        </w:tc>
      </w:tr>
      <w:tr>
        <w:tblPrEx>
          <w:tblCellMar>
            <w:top w:w="0" w:type="dxa"/>
            <w:left w:w="108" w:type="dxa"/>
            <w:bottom w:w="0" w:type="dxa"/>
            <w:right w:w="108" w:type="dxa"/>
          </w:tblCellMar>
        </w:tblPrEx>
        <w:trPr>
          <w:trHeight w:val="490" w:hRule="atLeast"/>
          <w:jc w:val="center"/>
        </w:trPr>
        <w:tc>
          <w:tcPr>
            <w:tcW w:w="4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highlight w:val="none"/>
              </w:rPr>
            </w:pPr>
          </w:p>
        </w:tc>
        <w:tc>
          <w:tcPr>
            <w:tcW w:w="820" w:type="dxa"/>
            <w:vMerge w:val="continue"/>
            <w:tcBorders>
              <w:left w:val="single" w:color="auto" w:sz="4" w:space="0"/>
              <w:right w:val="single" w:color="auto" w:sz="4" w:space="0"/>
            </w:tcBorders>
            <w:vAlign w:val="center"/>
          </w:tcPr>
          <w:p>
            <w:pPr>
              <w:widowControl/>
              <w:jc w:val="left"/>
              <w:rPr>
                <w:rFonts w:ascii="仿宋" w:hAnsi="仿宋" w:eastAsia="仿宋" w:cs="仿宋"/>
                <w:b/>
                <w:bCs/>
                <w:kern w:val="0"/>
                <w:sz w:val="24"/>
                <w:szCs w:val="24"/>
                <w:highlight w:val="none"/>
              </w:rPr>
            </w:pPr>
          </w:p>
        </w:tc>
        <w:tc>
          <w:tcPr>
            <w:tcW w:w="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用水系统诊断解决方案</w:t>
            </w:r>
          </w:p>
        </w:tc>
        <w:tc>
          <w:tcPr>
            <w:tcW w:w="5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kern w:val="0"/>
                <w:sz w:val="24"/>
                <w:szCs w:val="24"/>
                <w:highlight w:val="none"/>
              </w:rPr>
            </w:pPr>
            <w:r>
              <w:rPr>
                <w:rFonts w:ascii="仿宋" w:hAnsi="仿宋" w:eastAsia="仿宋" w:cs="仿宋"/>
                <w:b/>
                <w:kern w:val="0"/>
                <w:sz w:val="24"/>
                <w:szCs w:val="24"/>
                <w:highlight w:val="none"/>
              </w:rPr>
              <w:t>3</w:t>
            </w:r>
          </w:p>
        </w:tc>
        <w:tc>
          <w:tcPr>
            <w:tcW w:w="597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投标人对学校用水情况进行系统勘测分析，诊断问题，并提出解决措施：</w:t>
            </w:r>
          </w:p>
          <w:p>
            <w:pPr>
              <w:widowControl/>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方案中须包含项目现状分析、问题诊断、解决措施等，以上方案全部提供最多得</w:t>
            </w:r>
            <w:r>
              <w:rPr>
                <w:rFonts w:ascii="仿宋" w:hAnsi="仿宋" w:eastAsia="仿宋" w:cs="仿宋"/>
                <w:kern w:val="0"/>
                <w:sz w:val="24"/>
                <w:szCs w:val="24"/>
                <w:highlight w:val="none"/>
              </w:rPr>
              <w:t>3</w:t>
            </w:r>
            <w:r>
              <w:rPr>
                <w:rFonts w:hint="eastAsia" w:ascii="仿宋" w:hAnsi="仿宋" w:eastAsia="仿宋" w:cs="仿宋"/>
                <w:kern w:val="0"/>
                <w:sz w:val="24"/>
                <w:szCs w:val="24"/>
                <w:highlight w:val="none"/>
              </w:rPr>
              <w:t>分；每缺少一个方案，扣1分，扣完为止。</w:t>
            </w:r>
          </w:p>
        </w:tc>
      </w:tr>
      <w:tr>
        <w:tblPrEx>
          <w:tblCellMar>
            <w:top w:w="0" w:type="dxa"/>
            <w:left w:w="108" w:type="dxa"/>
            <w:bottom w:w="0" w:type="dxa"/>
            <w:right w:w="108" w:type="dxa"/>
          </w:tblCellMar>
        </w:tblPrEx>
        <w:trPr>
          <w:trHeight w:val="741" w:hRule="atLeast"/>
          <w:jc w:val="center"/>
        </w:trPr>
        <w:tc>
          <w:tcPr>
            <w:tcW w:w="4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highlight w:val="none"/>
              </w:rPr>
            </w:pPr>
          </w:p>
        </w:tc>
        <w:tc>
          <w:tcPr>
            <w:tcW w:w="820" w:type="dxa"/>
            <w:vMerge w:val="continue"/>
            <w:tcBorders>
              <w:left w:val="single" w:color="auto" w:sz="4" w:space="0"/>
              <w:right w:val="single" w:color="auto" w:sz="4" w:space="0"/>
            </w:tcBorders>
            <w:vAlign w:val="center"/>
          </w:tcPr>
          <w:p>
            <w:pPr>
              <w:widowControl/>
              <w:jc w:val="left"/>
              <w:rPr>
                <w:rFonts w:ascii="仿宋" w:hAnsi="仿宋" w:eastAsia="仿宋" w:cs="仿宋"/>
                <w:b/>
                <w:bCs/>
                <w:kern w:val="0"/>
                <w:sz w:val="24"/>
                <w:szCs w:val="24"/>
                <w:highlight w:val="none"/>
              </w:rPr>
            </w:pPr>
          </w:p>
        </w:tc>
        <w:tc>
          <w:tcPr>
            <w:tcW w:w="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项目建设期实施方案</w:t>
            </w:r>
          </w:p>
        </w:tc>
        <w:tc>
          <w:tcPr>
            <w:tcW w:w="5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kern w:val="0"/>
                <w:sz w:val="24"/>
                <w:szCs w:val="24"/>
                <w:highlight w:val="none"/>
              </w:rPr>
            </w:pPr>
            <w:r>
              <w:rPr>
                <w:rFonts w:ascii="仿宋" w:hAnsi="仿宋" w:eastAsia="仿宋" w:cs="仿宋"/>
                <w:b/>
                <w:kern w:val="0"/>
                <w:sz w:val="24"/>
                <w:szCs w:val="24"/>
                <w:highlight w:val="none"/>
              </w:rPr>
              <w:t>6</w:t>
            </w:r>
          </w:p>
        </w:tc>
        <w:tc>
          <w:tcPr>
            <w:tcW w:w="5973" w:type="dxa"/>
            <w:tcBorders>
              <w:top w:val="nil"/>
              <w:left w:val="nil"/>
              <w:bottom w:val="single" w:color="auto" w:sz="4" w:space="0"/>
              <w:right w:val="single" w:color="auto" w:sz="4" w:space="0"/>
            </w:tcBorders>
            <w:shd w:val="clear" w:color="auto" w:fill="auto"/>
            <w:vAlign w:val="center"/>
          </w:tcPr>
          <w:p>
            <w:pPr>
              <w:pStyle w:val="21"/>
              <w:rPr>
                <w:rFonts w:ascii="仿宋" w:hAnsi="仿宋" w:eastAsia="仿宋" w:cs="仿宋"/>
                <w:highlight w:val="none"/>
              </w:rPr>
            </w:pPr>
            <w:r>
              <w:rPr>
                <w:rFonts w:hint="eastAsia" w:ascii="仿宋" w:hAnsi="仿宋" w:eastAsia="仿宋" w:cs="仿宋"/>
                <w:highlight w:val="none"/>
              </w:rPr>
              <w:t>根据投标人指定的针对本项目建设期实施方案进行评分：</w:t>
            </w:r>
          </w:p>
          <w:p>
            <w:pPr>
              <w:pStyle w:val="21"/>
              <w:rPr>
                <w:rFonts w:ascii="仿宋" w:hAnsi="仿宋" w:eastAsia="仿宋" w:cs="仿宋"/>
                <w:highlight w:val="none"/>
              </w:rPr>
            </w:pPr>
            <w:r>
              <w:rPr>
                <w:rFonts w:hint="eastAsia" w:ascii="仿宋" w:hAnsi="仿宋" w:eastAsia="仿宋" w:cs="仿宋"/>
                <w:highlight w:val="none"/>
              </w:rPr>
              <w:t>（1）针对该项目建设期的技术方案，方案中须包含项目服务内容及要求中建立合同节水管理平台、完善供水管网图、修复更换漏损供水管网、终端用水器具更换等方案。</w:t>
            </w:r>
          </w:p>
          <w:p>
            <w:pPr>
              <w:widowControl/>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以上方案全部提供最多得</w:t>
            </w:r>
            <w:r>
              <w:rPr>
                <w:rFonts w:ascii="仿宋" w:hAnsi="仿宋" w:eastAsia="仿宋" w:cs="仿宋"/>
                <w:kern w:val="0"/>
                <w:sz w:val="24"/>
                <w:szCs w:val="24"/>
                <w:highlight w:val="none"/>
              </w:rPr>
              <w:t>3</w:t>
            </w:r>
            <w:r>
              <w:rPr>
                <w:rFonts w:hint="eastAsia" w:ascii="仿宋" w:hAnsi="仿宋" w:eastAsia="仿宋" w:cs="仿宋"/>
                <w:kern w:val="0"/>
                <w:sz w:val="24"/>
                <w:szCs w:val="24"/>
                <w:highlight w:val="none"/>
              </w:rPr>
              <w:t>分；每缺少一个方案，扣1分，扣完为止。</w:t>
            </w:r>
          </w:p>
          <w:p>
            <w:pPr>
              <w:pStyle w:val="21"/>
              <w:rPr>
                <w:rFonts w:ascii="仿宋" w:hAnsi="仿宋" w:eastAsia="仿宋" w:cs="仿宋"/>
                <w:highlight w:val="none"/>
              </w:rPr>
            </w:pPr>
            <w:r>
              <w:rPr>
                <w:rFonts w:hint="eastAsia" w:ascii="仿宋" w:hAnsi="仿宋" w:eastAsia="仿宋" w:cs="仿宋"/>
                <w:highlight w:val="none"/>
              </w:rPr>
              <w:t>（2）针对该项目建设期的施工方案，方案中须包含施工组织架构、实施人员配备、施工进度计划、施工质量管理措施等方案。</w:t>
            </w:r>
          </w:p>
          <w:p>
            <w:pPr>
              <w:pStyle w:val="21"/>
              <w:rPr>
                <w:rFonts w:ascii="仿宋" w:hAnsi="仿宋" w:eastAsia="仿宋" w:cs="仿宋"/>
                <w:b/>
                <w:highlight w:val="none"/>
              </w:rPr>
            </w:pPr>
            <w:r>
              <w:rPr>
                <w:rFonts w:hint="eastAsia" w:ascii="仿宋" w:hAnsi="仿宋" w:eastAsia="仿宋" w:cs="仿宋"/>
                <w:highlight w:val="none"/>
              </w:rPr>
              <w:t>以上方案全部提供最多得</w:t>
            </w:r>
            <w:r>
              <w:rPr>
                <w:rFonts w:ascii="仿宋" w:hAnsi="仿宋" w:eastAsia="仿宋" w:cs="仿宋"/>
                <w:highlight w:val="none"/>
              </w:rPr>
              <w:t>3</w:t>
            </w:r>
            <w:r>
              <w:rPr>
                <w:rFonts w:hint="eastAsia" w:ascii="仿宋" w:hAnsi="仿宋" w:eastAsia="仿宋" w:cs="仿宋"/>
                <w:highlight w:val="none"/>
              </w:rPr>
              <w:t>分；每缺少一个方案，扣1分，扣完为止。</w:t>
            </w:r>
          </w:p>
        </w:tc>
      </w:tr>
      <w:tr>
        <w:tblPrEx>
          <w:tblCellMar>
            <w:top w:w="0" w:type="dxa"/>
            <w:left w:w="108" w:type="dxa"/>
            <w:bottom w:w="0" w:type="dxa"/>
            <w:right w:w="108" w:type="dxa"/>
          </w:tblCellMar>
        </w:tblPrEx>
        <w:trPr>
          <w:trHeight w:val="132" w:hRule="atLeast"/>
          <w:jc w:val="center"/>
        </w:trPr>
        <w:tc>
          <w:tcPr>
            <w:tcW w:w="4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highlight w:val="none"/>
              </w:rPr>
            </w:pPr>
          </w:p>
        </w:tc>
        <w:tc>
          <w:tcPr>
            <w:tcW w:w="820"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highlight w:val="none"/>
              </w:rPr>
            </w:pPr>
          </w:p>
        </w:tc>
        <w:tc>
          <w:tcPr>
            <w:tcW w:w="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项目运维期管理方案</w:t>
            </w:r>
          </w:p>
        </w:tc>
        <w:tc>
          <w:tcPr>
            <w:tcW w:w="5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6</w:t>
            </w:r>
          </w:p>
        </w:tc>
        <w:tc>
          <w:tcPr>
            <w:tcW w:w="597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根据投标人指定的针对本项目运维期管理方案进行评分：</w:t>
            </w:r>
          </w:p>
          <w:p>
            <w:pPr>
              <w:widowControl/>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（1）针对该项目的运维期管理方案，方案中须包含运维内容、培训计划、售后团队、移交方案等方案。</w:t>
            </w:r>
          </w:p>
          <w:p>
            <w:pPr>
              <w:widowControl/>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以上方案全部提供最多得</w:t>
            </w:r>
            <w:r>
              <w:rPr>
                <w:rFonts w:ascii="仿宋" w:hAnsi="仿宋" w:eastAsia="仿宋" w:cs="仿宋"/>
                <w:kern w:val="0"/>
                <w:sz w:val="24"/>
                <w:szCs w:val="24"/>
                <w:highlight w:val="none"/>
              </w:rPr>
              <w:t>3</w:t>
            </w:r>
            <w:r>
              <w:rPr>
                <w:rFonts w:hint="eastAsia" w:ascii="仿宋" w:hAnsi="仿宋" w:eastAsia="仿宋" w:cs="仿宋"/>
                <w:kern w:val="0"/>
                <w:sz w:val="24"/>
                <w:szCs w:val="24"/>
                <w:highlight w:val="none"/>
              </w:rPr>
              <w:t>分；每缺少一个方案，扣1分，扣完为止。</w:t>
            </w:r>
          </w:p>
          <w:p>
            <w:pPr>
              <w:widowControl/>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（2）针对该项目的运维期间的应急预案，方案中须包含设备故障、爆管、停水、停电等具有相关应急措施。</w:t>
            </w:r>
          </w:p>
          <w:p>
            <w:pPr>
              <w:widowControl/>
              <w:jc w:val="left"/>
              <w:rPr>
                <w:rFonts w:ascii="仿宋" w:hAnsi="仿宋" w:eastAsia="仿宋" w:cs="仿宋"/>
                <w:b/>
                <w:kern w:val="0"/>
                <w:sz w:val="24"/>
                <w:szCs w:val="24"/>
                <w:highlight w:val="none"/>
              </w:rPr>
            </w:pPr>
            <w:r>
              <w:rPr>
                <w:rFonts w:hint="eastAsia" w:ascii="仿宋" w:hAnsi="仿宋" w:eastAsia="仿宋" w:cs="仿宋"/>
                <w:kern w:val="0"/>
                <w:sz w:val="24"/>
                <w:szCs w:val="24"/>
                <w:highlight w:val="none"/>
              </w:rPr>
              <w:t>以上应急措施全部提供最多得</w:t>
            </w:r>
            <w:r>
              <w:rPr>
                <w:rFonts w:ascii="仿宋" w:hAnsi="仿宋" w:eastAsia="仿宋" w:cs="仿宋"/>
                <w:kern w:val="0"/>
                <w:sz w:val="24"/>
                <w:szCs w:val="24"/>
                <w:highlight w:val="none"/>
              </w:rPr>
              <w:t>3</w:t>
            </w:r>
            <w:r>
              <w:rPr>
                <w:rFonts w:hint="eastAsia" w:ascii="仿宋" w:hAnsi="仿宋" w:eastAsia="仿宋" w:cs="仿宋"/>
                <w:kern w:val="0"/>
                <w:sz w:val="24"/>
                <w:szCs w:val="24"/>
                <w:highlight w:val="none"/>
              </w:rPr>
              <w:t>分；每缺少一个方案，扣1分，扣完为止。</w:t>
            </w:r>
          </w:p>
        </w:tc>
      </w:tr>
      <w:tr>
        <w:tblPrEx>
          <w:tblCellMar>
            <w:top w:w="0" w:type="dxa"/>
            <w:left w:w="108" w:type="dxa"/>
            <w:bottom w:w="0" w:type="dxa"/>
            <w:right w:w="108" w:type="dxa"/>
          </w:tblCellMar>
        </w:tblPrEx>
        <w:trPr>
          <w:trHeight w:val="960" w:hRule="atLeast"/>
          <w:jc w:val="center"/>
        </w:trPr>
        <w:tc>
          <w:tcPr>
            <w:tcW w:w="4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highlight w:val="none"/>
              </w:rPr>
            </w:pPr>
          </w:p>
        </w:tc>
        <w:tc>
          <w:tcPr>
            <w:tcW w:w="8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商务（权值为30%）</w:t>
            </w:r>
          </w:p>
        </w:tc>
        <w:tc>
          <w:tcPr>
            <w:tcW w:w="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企业资质</w:t>
            </w:r>
          </w:p>
        </w:tc>
        <w:tc>
          <w:tcPr>
            <w:tcW w:w="5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6</w:t>
            </w:r>
          </w:p>
        </w:tc>
        <w:tc>
          <w:tcPr>
            <w:tcW w:w="597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（1）投标人具有质量管理体系（ISO9001）认证证书，证书认证范围需包含合同节水服务，得2分，不包含不得分；</w:t>
            </w:r>
          </w:p>
          <w:p>
            <w:pPr>
              <w:widowControl/>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（2）投标人具有信息安全管理体系（ISO27001）认证证书，得2分；</w:t>
            </w:r>
          </w:p>
          <w:p>
            <w:pPr>
              <w:widowControl/>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（3）投标人具有国家市场监督总局认可的合同节水管理5A认证资质证书，得2分。</w:t>
            </w:r>
          </w:p>
          <w:p>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（响应文件中提供相关证件原件复印件并加盖投标人公章，否则不得分）</w:t>
            </w:r>
          </w:p>
        </w:tc>
      </w:tr>
      <w:tr>
        <w:tblPrEx>
          <w:tblCellMar>
            <w:top w:w="0" w:type="dxa"/>
            <w:left w:w="108" w:type="dxa"/>
            <w:bottom w:w="0" w:type="dxa"/>
            <w:right w:w="108" w:type="dxa"/>
          </w:tblCellMar>
        </w:tblPrEx>
        <w:trPr>
          <w:trHeight w:val="1200" w:hRule="atLeast"/>
          <w:jc w:val="center"/>
        </w:trPr>
        <w:tc>
          <w:tcPr>
            <w:tcW w:w="4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highlight w:val="none"/>
              </w:rPr>
            </w:pPr>
          </w:p>
        </w:tc>
        <w:tc>
          <w:tcPr>
            <w:tcW w:w="8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4"/>
                <w:szCs w:val="24"/>
                <w:highlight w:val="none"/>
              </w:rPr>
            </w:pPr>
          </w:p>
        </w:tc>
        <w:tc>
          <w:tcPr>
            <w:tcW w:w="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项目业绩</w:t>
            </w:r>
          </w:p>
        </w:tc>
        <w:tc>
          <w:tcPr>
            <w:tcW w:w="5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12</w:t>
            </w:r>
          </w:p>
        </w:tc>
        <w:tc>
          <w:tcPr>
            <w:tcW w:w="597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根据投标人提供的20</w:t>
            </w:r>
            <w:r>
              <w:rPr>
                <w:rFonts w:ascii="仿宋" w:hAnsi="仿宋" w:eastAsia="仿宋" w:cs="仿宋"/>
                <w:kern w:val="0"/>
                <w:sz w:val="24"/>
                <w:szCs w:val="24"/>
                <w:highlight w:val="none"/>
              </w:rPr>
              <w:t>20</w:t>
            </w:r>
            <w:r>
              <w:rPr>
                <w:rFonts w:hint="eastAsia" w:ascii="仿宋" w:hAnsi="仿宋" w:eastAsia="仿宋" w:cs="仿宋"/>
                <w:kern w:val="0"/>
                <w:sz w:val="24"/>
                <w:szCs w:val="24"/>
                <w:highlight w:val="none"/>
              </w:rPr>
              <w:t>年7月1日至今高校合同节水效益分享相关项目业绩进行评分：</w:t>
            </w:r>
          </w:p>
          <w:p>
            <w:pPr>
              <w:widowControl/>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（1）投标人具有正在运行或建设期的项目业绩</w:t>
            </w:r>
          </w:p>
          <w:p>
            <w:pPr>
              <w:widowControl/>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①年总用水量≥</w:t>
            </w:r>
            <w:r>
              <w:rPr>
                <w:rFonts w:ascii="仿宋" w:hAnsi="仿宋" w:eastAsia="仿宋" w:cs="仿宋"/>
                <w:kern w:val="0"/>
                <w:sz w:val="24"/>
                <w:szCs w:val="24"/>
                <w:highlight w:val="none"/>
              </w:rPr>
              <w:t>20</w:t>
            </w:r>
            <w:r>
              <w:rPr>
                <w:rFonts w:hint="eastAsia" w:ascii="仿宋" w:hAnsi="仿宋" w:eastAsia="仿宋" w:cs="仿宋"/>
                <w:kern w:val="0"/>
                <w:sz w:val="24"/>
                <w:szCs w:val="24"/>
                <w:highlight w:val="none"/>
              </w:rPr>
              <w:t>0万吨的，每提供一份得</w:t>
            </w:r>
            <w:r>
              <w:rPr>
                <w:rFonts w:ascii="仿宋" w:hAnsi="仿宋" w:eastAsia="仿宋" w:cs="仿宋"/>
                <w:kern w:val="0"/>
                <w:sz w:val="24"/>
                <w:szCs w:val="24"/>
                <w:highlight w:val="none"/>
              </w:rPr>
              <w:t>2</w:t>
            </w:r>
            <w:r>
              <w:rPr>
                <w:rFonts w:hint="eastAsia" w:ascii="仿宋" w:hAnsi="仿宋" w:eastAsia="仿宋" w:cs="仿宋"/>
                <w:kern w:val="0"/>
                <w:sz w:val="24"/>
                <w:szCs w:val="24"/>
                <w:highlight w:val="none"/>
              </w:rPr>
              <w:t>分，满分2分；</w:t>
            </w:r>
          </w:p>
          <w:p>
            <w:pPr>
              <w:widowControl/>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②</w:t>
            </w:r>
            <w:r>
              <w:rPr>
                <w:rFonts w:ascii="仿宋" w:hAnsi="仿宋" w:eastAsia="仿宋" w:cs="仿宋"/>
                <w:kern w:val="0"/>
                <w:sz w:val="24"/>
                <w:szCs w:val="24"/>
                <w:highlight w:val="none"/>
              </w:rPr>
              <w:t>100</w:t>
            </w:r>
            <w:r>
              <w:rPr>
                <w:rFonts w:hint="eastAsia" w:ascii="仿宋" w:hAnsi="仿宋" w:eastAsia="仿宋" w:cs="仿宋"/>
                <w:kern w:val="0"/>
                <w:sz w:val="24"/>
                <w:szCs w:val="24"/>
                <w:highlight w:val="none"/>
              </w:rPr>
              <w:t>万吨≤年总用水量＜</w:t>
            </w:r>
            <w:r>
              <w:rPr>
                <w:rFonts w:ascii="仿宋" w:hAnsi="仿宋" w:eastAsia="仿宋" w:cs="仿宋"/>
                <w:kern w:val="0"/>
                <w:sz w:val="24"/>
                <w:szCs w:val="24"/>
                <w:highlight w:val="none"/>
              </w:rPr>
              <w:t>20</w:t>
            </w:r>
            <w:r>
              <w:rPr>
                <w:rFonts w:hint="eastAsia" w:ascii="仿宋" w:hAnsi="仿宋" w:eastAsia="仿宋" w:cs="仿宋"/>
                <w:kern w:val="0"/>
                <w:sz w:val="24"/>
                <w:szCs w:val="24"/>
                <w:highlight w:val="none"/>
              </w:rPr>
              <w:t>0万吨的，每提供一份得1分，满分4分；</w:t>
            </w:r>
          </w:p>
          <w:p>
            <w:pPr>
              <w:widowControl/>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需提供中标通知书、中标公告网址、合同协议，满分6分；</w:t>
            </w:r>
          </w:p>
          <w:p>
            <w:pPr>
              <w:widowControl/>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（2）投标人具有节水成效的项目业绩，每提供一份得</w:t>
            </w:r>
            <w:r>
              <w:rPr>
                <w:rFonts w:ascii="仿宋" w:hAnsi="仿宋" w:eastAsia="仿宋" w:cs="仿宋"/>
                <w:kern w:val="0"/>
                <w:sz w:val="24"/>
                <w:szCs w:val="24"/>
                <w:highlight w:val="none"/>
              </w:rPr>
              <w:t>1.5</w:t>
            </w:r>
            <w:r>
              <w:rPr>
                <w:rFonts w:hint="eastAsia" w:ascii="仿宋" w:hAnsi="仿宋" w:eastAsia="仿宋" w:cs="仿宋"/>
                <w:kern w:val="0"/>
                <w:sz w:val="24"/>
                <w:szCs w:val="24"/>
                <w:highlight w:val="none"/>
              </w:rPr>
              <w:t>分，需提供中标通知书、中标公告网址、合同协议、节水收益回款单据，满分6分。</w:t>
            </w:r>
          </w:p>
          <w:p>
            <w:pPr>
              <w:widowControl/>
              <w:jc w:val="left"/>
              <w:rPr>
                <w:rFonts w:ascii="仿宋" w:hAnsi="仿宋" w:eastAsia="仿宋" w:cs="仿宋"/>
                <w:b/>
                <w:kern w:val="0"/>
                <w:sz w:val="24"/>
                <w:szCs w:val="24"/>
                <w:highlight w:val="none"/>
              </w:rPr>
            </w:pPr>
            <w:r>
              <w:rPr>
                <w:rFonts w:hint="eastAsia" w:ascii="仿宋" w:hAnsi="仿宋" w:eastAsia="仿宋" w:cs="仿宋"/>
                <w:b/>
                <w:kern w:val="0"/>
                <w:szCs w:val="24"/>
                <w:highlight w:val="none"/>
              </w:rPr>
              <w:t>（响应文件中需提供相关证书复印件，并加盖投标人公章，不提供不得分，以上业绩不重复计算）</w:t>
            </w:r>
          </w:p>
        </w:tc>
      </w:tr>
      <w:tr>
        <w:tblPrEx>
          <w:tblCellMar>
            <w:top w:w="0" w:type="dxa"/>
            <w:left w:w="108" w:type="dxa"/>
            <w:bottom w:w="0" w:type="dxa"/>
            <w:right w:w="108" w:type="dxa"/>
          </w:tblCellMar>
        </w:tblPrEx>
        <w:trPr>
          <w:trHeight w:val="1200" w:hRule="atLeast"/>
          <w:jc w:val="center"/>
        </w:trPr>
        <w:tc>
          <w:tcPr>
            <w:tcW w:w="4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highlight w:val="none"/>
              </w:rPr>
            </w:pPr>
          </w:p>
        </w:tc>
        <w:tc>
          <w:tcPr>
            <w:tcW w:w="8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4"/>
                <w:szCs w:val="24"/>
                <w:highlight w:val="none"/>
              </w:rPr>
            </w:pPr>
          </w:p>
        </w:tc>
        <w:tc>
          <w:tcPr>
            <w:tcW w:w="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人员配置</w:t>
            </w:r>
          </w:p>
        </w:tc>
        <w:tc>
          <w:tcPr>
            <w:tcW w:w="5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6</w:t>
            </w:r>
          </w:p>
        </w:tc>
        <w:tc>
          <w:tcPr>
            <w:tcW w:w="597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（1）项目建设期团队成员具有二级及以上建造师（市政、机电或通信类）证书得</w:t>
            </w:r>
            <w:r>
              <w:rPr>
                <w:rFonts w:ascii="仿宋" w:hAnsi="仿宋" w:eastAsia="仿宋" w:cs="仿宋"/>
                <w:kern w:val="0"/>
                <w:sz w:val="24"/>
                <w:szCs w:val="24"/>
                <w:highlight w:val="none"/>
              </w:rPr>
              <w:t>2</w:t>
            </w:r>
            <w:r>
              <w:rPr>
                <w:rFonts w:hint="eastAsia" w:ascii="仿宋" w:hAnsi="仿宋" w:eastAsia="仿宋" w:cs="仿宋"/>
                <w:kern w:val="0"/>
                <w:sz w:val="24"/>
                <w:szCs w:val="24"/>
                <w:highlight w:val="none"/>
              </w:rPr>
              <w:t>分；</w:t>
            </w:r>
          </w:p>
          <w:p>
            <w:pPr>
              <w:widowControl/>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（2）项目实施成员具有能源管理师，得</w:t>
            </w:r>
            <w:r>
              <w:rPr>
                <w:rFonts w:ascii="仿宋" w:hAnsi="仿宋" w:eastAsia="仿宋" w:cs="仿宋"/>
                <w:kern w:val="0"/>
                <w:sz w:val="24"/>
                <w:szCs w:val="24"/>
                <w:highlight w:val="none"/>
              </w:rPr>
              <w:t>2</w:t>
            </w:r>
            <w:r>
              <w:rPr>
                <w:rFonts w:hint="eastAsia" w:ascii="仿宋" w:hAnsi="仿宋" w:eastAsia="仿宋" w:cs="仿宋"/>
                <w:kern w:val="0"/>
                <w:sz w:val="24"/>
                <w:szCs w:val="24"/>
                <w:highlight w:val="none"/>
              </w:rPr>
              <w:t>分。</w:t>
            </w:r>
          </w:p>
          <w:p>
            <w:pPr>
              <w:pStyle w:val="19"/>
              <w:ind w:firstLine="0" w:firstLineChars="0"/>
              <w:rPr>
                <w:rFonts w:ascii="仿宋" w:hAnsi="仿宋" w:eastAsia="仿宋" w:cs="仿宋"/>
                <w:szCs w:val="24"/>
                <w:highlight w:val="none"/>
              </w:rPr>
            </w:pPr>
            <w:r>
              <w:rPr>
                <w:rFonts w:hint="eastAsia" w:ascii="仿宋" w:hAnsi="仿宋" w:eastAsia="仿宋" w:cs="仿宋"/>
                <w:kern w:val="0"/>
                <w:szCs w:val="24"/>
                <w:highlight w:val="none"/>
              </w:rPr>
              <w:t>（</w:t>
            </w:r>
            <w:r>
              <w:rPr>
                <w:rFonts w:hint="eastAsia" w:ascii="仿宋" w:hAnsi="仿宋" w:eastAsia="仿宋" w:cs="仿宋"/>
                <w:kern w:val="0"/>
                <w:szCs w:val="24"/>
                <w:highlight w:val="none"/>
                <w:lang w:val="en-US"/>
              </w:rPr>
              <w:t>3</w:t>
            </w:r>
            <w:r>
              <w:rPr>
                <w:rFonts w:hint="eastAsia" w:ascii="仿宋" w:hAnsi="仿宋" w:eastAsia="仿宋" w:cs="仿宋"/>
                <w:kern w:val="0"/>
                <w:szCs w:val="24"/>
                <w:highlight w:val="none"/>
              </w:rPr>
              <w:t>）项目运维人员具有给排水操作证，得</w:t>
            </w:r>
            <w:r>
              <w:rPr>
                <w:rFonts w:ascii="仿宋" w:hAnsi="仿宋" w:eastAsia="仿宋" w:cs="仿宋"/>
                <w:kern w:val="0"/>
                <w:szCs w:val="24"/>
                <w:highlight w:val="none"/>
                <w:lang w:val="en-US"/>
              </w:rPr>
              <w:t>2</w:t>
            </w:r>
            <w:r>
              <w:rPr>
                <w:rFonts w:hint="eastAsia" w:ascii="仿宋" w:hAnsi="仿宋" w:eastAsia="仿宋" w:cs="仿宋"/>
                <w:kern w:val="0"/>
                <w:szCs w:val="24"/>
                <w:highlight w:val="none"/>
              </w:rPr>
              <w:t>分。</w:t>
            </w:r>
          </w:p>
          <w:p>
            <w:pPr>
              <w:widowControl/>
              <w:jc w:val="left"/>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（响应文件中提供项目证书复印件、投标人为其缴纳的近三个月的社保证明并加盖社保部门签章，所有材料均须加盖投标人公章，不提供不得分。）</w:t>
            </w:r>
          </w:p>
        </w:tc>
      </w:tr>
      <w:tr>
        <w:tblPrEx>
          <w:tblCellMar>
            <w:top w:w="0" w:type="dxa"/>
            <w:left w:w="108" w:type="dxa"/>
            <w:bottom w:w="0" w:type="dxa"/>
            <w:right w:w="108" w:type="dxa"/>
          </w:tblCellMar>
        </w:tblPrEx>
        <w:trPr>
          <w:trHeight w:val="960" w:hRule="atLeast"/>
          <w:jc w:val="center"/>
        </w:trPr>
        <w:tc>
          <w:tcPr>
            <w:tcW w:w="4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highlight w:val="none"/>
              </w:rPr>
            </w:pPr>
          </w:p>
        </w:tc>
        <w:tc>
          <w:tcPr>
            <w:tcW w:w="8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4"/>
                <w:szCs w:val="24"/>
                <w:highlight w:val="none"/>
              </w:rPr>
            </w:pPr>
          </w:p>
        </w:tc>
        <w:tc>
          <w:tcPr>
            <w:tcW w:w="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项目实施维护资质</w:t>
            </w:r>
          </w:p>
        </w:tc>
        <w:tc>
          <w:tcPr>
            <w:tcW w:w="5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6</w:t>
            </w:r>
          </w:p>
        </w:tc>
        <w:tc>
          <w:tcPr>
            <w:tcW w:w="597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（1）投标人入选市级及以上政府单位节水单位备案名单，得2分。</w:t>
            </w:r>
          </w:p>
          <w:p>
            <w:pPr>
              <w:widowControl/>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（2）投标人具有国家版权局颁发的节水报修管理系统相关运维软件著作权，得2分。</w:t>
            </w:r>
          </w:p>
          <w:p>
            <w:pPr>
              <w:widowControl/>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（3）投标人具有国家市场监督总局认可的项目运行维护售后服务资质，服务能力满足GB/T27922-2011五星及以上要求，得2分。</w:t>
            </w:r>
          </w:p>
          <w:p>
            <w:pPr>
              <w:widowControl/>
              <w:jc w:val="left"/>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（响应文件中需提供相关证书复印件，并加盖投标人公章，原件备查、不提供不得分）</w:t>
            </w:r>
          </w:p>
        </w:tc>
      </w:tr>
    </w:tbl>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说明：若投标人的投标报价与收益不符合正常预算值，由评委启动报价有效性得质疑程序。</w:t>
      </w:r>
    </w:p>
    <w:p>
      <w:pPr>
        <w:pStyle w:val="5"/>
        <w:rPr>
          <w:rFonts w:ascii="仿宋" w:hAnsi="仿宋" w:cs="仿宋"/>
          <w:highlight w:val="none"/>
        </w:rPr>
      </w:pPr>
      <w:r>
        <w:rPr>
          <w:rFonts w:hint="eastAsia" w:ascii="仿宋" w:hAnsi="仿宋" w:cs="仿宋"/>
          <w:highlight w:val="none"/>
        </w:rPr>
        <w:t>十、评标程序</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zh-CN"/>
          <w14:textFill>
            <w14:solidFill>
              <w14:schemeClr w14:val="tx1"/>
            </w14:solidFill>
          </w14:textFill>
        </w:rPr>
        <w:t>评标工作由</w:t>
      </w:r>
      <w:r>
        <w:rPr>
          <w:rFonts w:hint="eastAsia" w:ascii="仿宋" w:hAnsi="仿宋" w:eastAsia="仿宋" w:cs="仿宋"/>
          <w:color w:val="000000" w:themeColor="text1"/>
          <w:sz w:val="28"/>
          <w:szCs w:val="28"/>
          <w:highlight w:val="none"/>
          <w14:textFill>
            <w14:solidFill>
              <w14:schemeClr w14:val="tx1"/>
            </w14:solidFill>
          </w14:textFill>
        </w:rPr>
        <w:t>资产与实验实训室管理处</w:t>
      </w:r>
      <w:r>
        <w:rPr>
          <w:rFonts w:hint="eastAsia" w:ascii="仿宋" w:hAnsi="仿宋" w:eastAsia="仿宋" w:cs="仿宋"/>
          <w:color w:val="000000" w:themeColor="text1"/>
          <w:sz w:val="28"/>
          <w:szCs w:val="28"/>
          <w:highlight w:val="none"/>
          <w:lang w:val="zh-CN"/>
          <w14:textFill>
            <w14:solidFill>
              <w14:schemeClr w14:val="tx1"/>
            </w14:solidFill>
          </w14:textFill>
        </w:rPr>
        <w:t>负责组织，具体评标事务由依法组建的评标委员会（以下简称评委会）负责。</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1.投标文件的资格审查</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zh-CN"/>
          <w14:textFill>
            <w14:solidFill>
              <w14:schemeClr w14:val="tx1"/>
            </w14:solidFill>
          </w14:textFill>
        </w:rPr>
        <w:t>依据法律法规和招标文件的规定，采购人组织对投标文件中的资格证明文件等进行审查，以确定投标供人是否具备投标资格。不符合招标文件规定的资格要求的投标文件，将作为无效投标处理。</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2.投标文件的符合性审查</w:t>
      </w:r>
    </w:p>
    <w:p>
      <w:pPr>
        <w:spacing w:line="440" w:lineRule="exact"/>
        <w:ind w:firstLine="560" w:firstLineChars="200"/>
        <w:rPr>
          <w:rFonts w:ascii="仿宋" w:hAnsi="仿宋" w:eastAsia="仿宋" w:cs="仿宋"/>
          <w:color w:val="000000" w:themeColor="text1"/>
          <w:sz w:val="28"/>
          <w:szCs w:val="28"/>
          <w:highlight w:val="none"/>
          <w:lang w:val="zh-CN"/>
          <w14:textFill>
            <w14:solidFill>
              <w14:schemeClr w14:val="tx1"/>
            </w14:solidFill>
          </w14:textFill>
        </w:rPr>
      </w:pPr>
      <w:r>
        <w:rPr>
          <w:rFonts w:hint="eastAsia" w:ascii="仿宋" w:hAnsi="仿宋" w:eastAsia="仿宋" w:cs="仿宋"/>
          <w:color w:val="000000" w:themeColor="text1"/>
          <w:sz w:val="28"/>
          <w:szCs w:val="28"/>
          <w:highlight w:val="none"/>
          <w:lang w:val="zh-CN"/>
          <w14:textFill>
            <w14:solidFill>
              <w14:schemeClr w14:val="tx1"/>
            </w14:solidFill>
          </w14:textFill>
        </w:rPr>
        <w:t>2.1评委会将依据法律法规和招标文件的规定，对投标文件的有效性、完整性和对招标文件的响应程度进行审查，以确定是否对招标文件的实质性要求作出响应。实质性要求是指本招标文件中的商务和技术要求。如果投标文件实质上没有响应招标文件的要求，评委会可作无效投标处理。</w:t>
      </w:r>
    </w:p>
    <w:p>
      <w:pPr>
        <w:spacing w:line="440" w:lineRule="exact"/>
        <w:ind w:firstLine="560" w:firstLineChars="200"/>
        <w:rPr>
          <w:rFonts w:ascii="仿宋" w:hAnsi="仿宋" w:eastAsia="仿宋" w:cs="仿宋"/>
          <w:color w:val="000000" w:themeColor="text1"/>
          <w:sz w:val="28"/>
          <w:szCs w:val="28"/>
          <w:highlight w:val="none"/>
          <w:lang w:val="zh-CN"/>
          <w14:textFill>
            <w14:solidFill>
              <w14:schemeClr w14:val="tx1"/>
            </w14:solidFill>
          </w14:textFill>
        </w:rPr>
      </w:pPr>
      <w:r>
        <w:rPr>
          <w:rFonts w:hint="eastAsia" w:ascii="仿宋" w:hAnsi="仿宋" w:eastAsia="仿宋" w:cs="仿宋"/>
          <w:color w:val="000000" w:themeColor="text1"/>
          <w:sz w:val="28"/>
          <w:szCs w:val="28"/>
          <w:highlight w:val="none"/>
          <w:lang w:val="zh-CN"/>
          <w14:textFill>
            <w14:solidFill>
              <w14:schemeClr w14:val="tx1"/>
            </w14:solidFill>
          </w14:textFill>
        </w:rPr>
        <w:t>2.2投标人及其投标文件有下列情况之一的，在符合性审查时按照无效投标处理:</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（1）未按照招标文件规定要求签署、盖章的；</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（2）投标总价超出招标文件规定的预算金额或者最高限价的；</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（3）不同投标人的投标文件由同一单位或者个人编制；</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（4）不同投标人委托同一单位或者个人办理投标事宜；</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（5）不同投标人的投标文件载明的项目管理成员或者联系人员为同一人；</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（6）不同投标人的投标文件异常一致或者投标报价呈规律性差异；</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（7）不同投标人的投标文件相互混装；</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（8）投标文件含有采购人不能接受的附加条件的，或有损害采购人利益的规定的；</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（9）评委会认为投标人的报价明显低于其他通过符合性审查投标人的报价，有可能影响产品质量或者不能诚信履约的，未在评标现场合理的时间内提供书面说明或相关证明材料，不能证明其报价合理的；</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（10）在一份投标文件中对同一招标项目报有两个及以上报价，且未声明哪一个有效的，但按招标文件规定提交备选投标方案的除外；</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（11）重要内容或关键字迹模糊不清无法辨认的；</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（12）投标有效期不足的；</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（13）以他人的名义投标、串通投标、以行贿手段谋取中标或者以其他弄虚作假方式投标的，故意哄抬价格或压价等其它恶意串通投标的；</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（14）不符合招标文件中规定的其他实质性要求和条件的；</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（15）不符合法律、法规规定的其他无效情形，以及招标文件规定的其他无效情形；</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（16）</w:t>
      </w:r>
      <w:r>
        <w:rPr>
          <w:rFonts w:hint="eastAsia" w:ascii="仿宋" w:hAnsi="仿宋" w:eastAsia="仿宋" w:cs="仿宋"/>
          <w:sz w:val="28"/>
          <w:szCs w:val="28"/>
          <w:highlight w:val="none"/>
        </w:rPr>
        <w:t>未完全响应第二章（项目采购需求）</w:t>
      </w:r>
      <w:r>
        <w:rPr>
          <w:rFonts w:hint="eastAsia" w:ascii="仿宋" w:hAnsi="仿宋" w:eastAsia="仿宋" w:cs="仿宋"/>
          <w:color w:val="000000" w:themeColor="text1"/>
          <w:sz w:val="28"/>
          <w:szCs w:val="28"/>
          <w:highlight w:val="none"/>
          <w14:textFill>
            <w14:solidFill>
              <w14:schemeClr w14:val="tx1"/>
            </w14:solidFill>
          </w14:textFill>
        </w:rPr>
        <w:t>的。</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2.3有下列情形之一的可予以废标:</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（1）符合专业条件的投标人或者对招标文件作实质响应的投标人不足三家的；</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（2）出现影响采购公正的违法、违规行为的；</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（3）投标人的报价均超过了采购预算或最高限价，学校不能支付的；</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（4）因重要变故，采购任务取消的；</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（5）其他法律、法规、学校规章制度规定可以为废标的。</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3.投标文件的投标报价审查</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评委会将对确定为实质性响应的投标进行进一步审核，看其是否有计算上或累加上的算术错误，修正错误的原则:投标文件中投标函内容与投标文件中报价表内容不一致的，以投标函为准；大写金额和小写金额不一致的，以大写金额为准；单价金额小数点或者百分比有明显错位的，以投标函的总价为准，并修改单价；总价金额与按单价汇总金额不一致的，以单价金额计算结果为准。评委会将按上述修正错误的方法调整投标文件中的投标报价，调整后的价格应对投标人具有约束力。如果投标人不确认签字，其投标无效。</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4.投标文件的澄清</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对投标文件中含义不明确、同类问题表述不一致或者明显文字错误的内容，评委会可以要求投标人作出必要的澄清、说明或者补正。投标人的澄清、说明、补正应当采用书面形式，由其授权代表签字，但不得超出投标文件的范围或者改变投标文件的实质性内容。</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5.评审及中标</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5.1评委会将对通过资格性审查和符合性审查的投标文件进行评价和比较。评委会按招标文件中公布的评标标准对每份合格投标文件进行评审，确定中标投标人，任何单项因素的最优不能作为中标的保证。</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5.2在宣布中标结果之前，凡属于审查、澄清、评价、比较投标文件和中标意向等有关信息，相关当事人均不得泄露给任何投标人或与评审工作无关的人员。投标人不得探听上述信息，不得以任何行为影响评标过程，否则其投标文件将被作无效处理。在评审期间，采购人将有专门人员与投标人进行联络。采购人和评委会不向未中标的投标人解释未中标原因，也不公布评审过程中的相关细节。</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5.3评委会根据招标文件中规定的评标标准对投标人进行综合评审，最终按综合评审得分由高到低的顺序推荐出中标候选人。采购人根据评委会推荐的中标候选人确认中标人。</w:t>
      </w:r>
    </w:p>
    <w:p>
      <w:pPr>
        <w:pStyle w:val="5"/>
        <w:rPr>
          <w:rFonts w:ascii="仿宋" w:hAnsi="仿宋" w:cs="仿宋"/>
          <w:highlight w:val="none"/>
        </w:rPr>
      </w:pPr>
      <w:r>
        <w:rPr>
          <w:rFonts w:hint="eastAsia" w:ascii="仿宋" w:hAnsi="仿宋" w:cs="仿宋"/>
          <w:highlight w:val="none"/>
        </w:rPr>
        <w:t>十一、定标与签约</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1.招标项目评审结果确定后，采购人将在学校网站（招标公告发布的网站）第一时间公示评审结果，公示时间为1个工作日，请注意及时查询，对其它未中标人将不单独通知，未中标的原因不进行解释。</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2.中标候选人出现下列情况之一的，一经查实，将被取消中标资格：</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（1）提供虚假材料谋取中标的；</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（2）与评审专家、采购人、其他投标人或者招投标办公室工作人员恶意串通的；</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（3）向评审专家、采购人或招投标办公室工作人员行贿或者提供其它不正当利益的；</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（4）恶意竞争，投标总报价明显低于其自身合理成本且又无法提供证明的；</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（5）不满足本招标文件规定的实质性要求，但在评标过程中又未被评委发现的；</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（6）不符合法律、法规的规定的其它情形。</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在此情况下一经认定，采购人有权取消中标资格、列入学校采购不诚信企业名单、两年内不得参与学校所有采购项目等处罚。采购人有权重新组织采购或递补中标候选人。</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3.质疑处理</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3.1参加投标投标人认为采购过程和采购结果使自己的权益受到损害的，可以从采购结果公示之日起7个工作日内，以书面形式一次性向采购人（招投标办公室）提出质疑。非书面形式、7工作日之外提交以及匿名的质疑将不予受理。质疑函内容主要包含：投标人的姓名或者名称、地址、邮编、联系人及联系电话；质疑项目的名称、编号；具体、明确的质疑事项和与质疑事项相关的请求；事实依据；必要的法律依据；提出质疑的日期等。</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3.2质疑必须以参加投标的投标人法人代表或授权代表（投标文件中所确定的）书面送达的方式提交，未按上述要求提交的质疑函，采购人有权不予受理。</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3.3未参加投标的投标人或在投标活动中本身权益未受到损害或从投标活动中受益的投标人所提出的质疑也不予受理。</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3.4投标人提出书面质疑必须有理、有据，不得恶意质疑或提交虚假质疑。否则，采购人将不予受理。</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3.5采购人将在收到投标投标人的书面质疑后将在规定时间内作出答复，但答复的内容不涉及商业秘密。</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4.评审结果公示期满，中标人在三个工作日内来</w:t>
      </w:r>
      <w:r>
        <w:rPr>
          <w:rFonts w:hint="eastAsia" w:ascii="仿宋" w:hAnsi="仿宋" w:eastAsia="仿宋" w:cs="仿宋"/>
          <w:color w:val="000000" w:themeColor="text1"/>
          <w:sz w:val="28"/>
          <w:szCs w:val="28"/>
          <w:highlight w:val="none"/>
          <w14:textFill>
            <w14:solidFill>
              <w14:schemeClr w14:val="tx1"/>
            </w14:solidFill>
          </w14:textFill>
        </w:rPr>
        <w:t>南昌职业大学办公楼210室</w:t>
      </w:r>
      <w:r>
        <w:rPr>
          <w:rFonts w:hint="eastAsia" w:ascii="仿宋" w:hAnsi="仿宋" w:eastAsia="仿宋" w:cs="仿宋"/>
          <w:color w:val="000000" w:themeColor="text1"/>
          <w:sz w:val="28"/>
          <w:szCs w:val="28"/>
          <w:highlight w:val="none"/>
          <w14:textFill>
            <w14:solidFill>
              <w14:schemeClr w14:val="tx1"/>
            </w14:solidFill>
          </w14:textFill>
        </w:rPr>
        <w:t>领取中标通知书，并在七个工作日内与采购人签订合同（具体以合同签订为准）。若发生中标商未按规定时间领取中标通知书或未按规定时间签订合同，采购人将视该中标商放弃此次中标权，采购人有权取消中标资格并列入学校采购不诚信企业名单，两年内不得参与学校所有采购项目。采购人有权将中标资格授予排名第二的投标人或重新组织招标。</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5.履约保证金</w:t>
      </w:r>
    </w:p>
    <w:p>
      <w:pPr>
        <w:pStyle w:val="2"/>
        <w:rPr>
          <w:rFonts w:ascii="仿宋" w:hAnsi="仿宋" w:eastAsia="仿宋" w:cs="仿宋"/>
          <w:highlight w:val="none"/>
        </w:rPr>
      </w:pPr>
      <w:r>
        <w:rPr>
          <w:rFonts w:hint="eastAsia" w:ascii="仿宋" w:hAnsi="仿宋" w:eastAsia="仿宋" w:cs="仿宋"/>
          <w:color w:val="000000" w:themeColor="text1"/>
          <w:sz w:val="28"/>
          <w:szCs w:val="28"/>
          <w:highlight w:val="none"/>
          <w14:textFill>
            <w14:solidFill>
              <w14:schemeClr w14:val="tx1"/>
            </w14:solidFill>
          </w14:textFill>
        </w:rPr>
        <w:t>无（项目为乙方投资，无需履约保证金）</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本招标文件和中标人的投标文件包括中标人所作出的各种书面承诺将作为采购人与中标人双方签订合同的依据，并作为合同的附件与合同具有同等法律效力。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440" w:lineRule="exact"/>
        <w:ind w:firstLine="560" w:firstLineChars="200"/>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投标人中标后，采购人发现其投标文件中有与招标文件相抵触之处、或投标文件中附有超出有关规定的条款，则仍以招标文件为准或以采购人解释为准。若投标人仍拒绝接受招标文件的规定或采购人的解释，采购人将解除对投标人做出的一切决定，由此造成的一切损失均由投标人承担。</w:t>
      </w:r>
    </w:p>
    <w:p>
      <w:pPr>
        <w:pStyle w:val="12"/>
        <w:shd w:val="clear" w:color="auto" w:fill="FFFFFF"/>
        <w:spacing w:before="0" w:beforeAutospacing="0" w:after="0" w:afterAutospacing="0" w:line="420" w:lineRule="exact"/>
        <w:ind w:firstLine="435"/>
        <w:jc w:val="both"/>
        <w:rPr>
          <w:rFonts w:ascii="仿宋" w:hAnsi="仿宋" w:eastAsia="仿宋" w:cs="仿宋"/>
          <w:color w:val="000000" w:themeColor="text1"/>
          <w:kern w:val="2"/>
          <w:sz w:val="28"/>
          <w:szCs w:val="28"/>
          <w:highlight w:val="none"/>
          <w14:textFill>
            <w14:solidFill>
              <w14:schemeClr w14:val="tx1"/>
            </w14:solidFill>
          </w14:textFill>
        </w:rPr>
      </w:pPr>
      <w:r>
        <w:rPr>
          <w:rFonts w:hint="eastAsia" w:ascii="仿宋" w:hAnsi="仿宋" w:eastAsia="仿宋" w:cs="仿宋"/>
          <w:color w:val="000000" w:themeColor="text1"/>
          <w:kern w:val="2"/>
          <w:sz w:val="28"/>
          <w:szCs w:val="28"/>
          <w:highlight w:val="none"/>
          <w14:textFill>
            <w14:solidFill>
              <w14:schemeClr w14:val="tx1"/>
            </w14:solidFill>
          </w14:textFill>
        </w:rPr>
        <w:t>8.货物和服务的追加和减少</w:t>
      </w:r>
    </w:p>
    <w:p>
      <w:pPr>
        <w:pStyle w:val="12"/>
        <w:shd w:val="clear" w:color="auto" w:fill="FFFFFF"/>
        <w:spacing w:before="0" w:beforeAutospacing="0" w:after="0" w:afterAutospacing="0" w:line="420" w:lineRule="exact"/>
        <w:ind w:firstLine="435"/>
        <w:jc w:val="both"/>
        <w:rPr>
          <w:rFonts w:ascii="仿宋" w:hAnsi="仿宋" w:eastAsia="仿宋" w:cs="仿宋"/>
          <w:color w:val="000000" w:themeColor="text1"/>
          <w:kern w:val="2"/>
          <w:sz w:val="28"/>
          <w:szCs w:val="28"/>
          <w:highlight w:val="none"/>
          <w14:textFill>
            <w14:solidFill>
              <w14:schemeClr w14:val="tx1"/>
            </w14:solidFill>
          </w14:textFill>
        </w:rPr>
      </w:pPr>
      <w:r>
        <w:rPr>
          <w:rFonts w:hint="eastAsia" w:ascii="仿宋" w:hAnsi="仿宋" w:eastAsia="仿宋" w:cs="仿宋"/>
          <w:color w:val="000000" w:themeColor="text1"/>
          <w:kern w:val="2"/>
          <w:sz w:val="28"/>
          <w:szCs w:val="28"/>
          <w:highlight w:val="none"/>
          <w14:textFill>
            <w14:solidFill>
              <w14:schemeClr w14:val="tx1"/>
            </w14:solidFill>
          </w14:textFill>
        </w:rPr>
        <w:t>8.1采购合同履行中，需追加或减少与合同标的相同的货物和服务的，在不改变价格水平、合同及其它条款的前提下，采购人可以与中标人协商签订补充合同，追加或减少量不得超过合同总额的10%。</w:t>
      </w:r>
    </w:p>
    <w:p>
      <w:pPr>
        <w:pStyle w:val="12"/>
        <w:shd w:val="clear" w:color="auto" w:fill="FFFFFF"/>
        <w:spacing w:before="0" w:beforeAutospacing="0" w:after="0" w:afterAutospacing="0" w:line="420" w:lineRule="exact"/>
        <w:ind w:firstLine="435"/>
        <w:jc w:val="both"/>
        <w:rPr>
          <w:rFonts w:ascii="仿宋" w:hAnsi="仿宋" w:eastAsia="仿宋" w:cs="仿宋"/>
          <w:color w:val="000000" w:themeColor="text1"/>
          <w:kern w:val="2"/>
          <w:sz w:val="28"/>
          <w:szCs w:val="28"/>
          <w:highlight w:val="none"/>
          <w14:textFill>
            <w14:solidFill>
              <w14:schemeClr w14:val="tx1"/>
            </w14:solidFill>
          </w14:textFill>
        </w:rPr>
      </w:pPr>
      <w:r>
        <w:rPr>
          <w:rFonts w:hint="eastAsia" w:ascii="仿宋" w:hAnsi="仿宋" w:eastAsia="仿宋" w:cs="仿宋"/>
          <w:color w:val="000000" w:themeColor="text1"/>
          <w:kern w:val="2"/>
          <w:sz w:val="28"/>
          <w:szCs w:val="28"/>
          <w:highlight w:val="none"/>
          <w14:textFill>
            <w14:solidFill>
              <w14:schemeClr w14:val="tx1"/>
            </w14:solidFill>
          </w14:textFill>
        </w:rPr>
        <w:t>8.2采购结束后，采购人若由于各种客观原因，必须对采购项目所牵涉的货物和服务进行适当的减少时，在双方协商一致的前提下，可以按照中标时数量做相应的调减，并据此签订补充合同。</w:t>
      </w:r>
    </w:p>
    <w:p>
      <w:pPr>
        <w:pStyle w:val="12"/>
        <w:numPr>
          <w:ilvl w:val="0"/>
          <w:numId w:val="2"/>
        </w:numPr>
        <w:shd w:val="clear" w:color="auto" w:fill="FFFFFF"/>
        <w:spacing w:before="0" w:beforeAutospacing="0" w:after="0" w:afterAutospacing="0" w:line="420" w:lineRule="exact"/>
        <w:ind w:firstLine="435"/>
        <w:jc w:val="both"/>
        <w:rPr>
          <w:rFonts w:hint="eastAsia" w:ascii="仿宋" w:hAnsi="仿宋" w:eastAsia="仿宋" w:cs="仿宋"/>
          <w:color w:val="000000" w:themeColor="text1"/>
          <w:kern w:val="2"/>
          <w:sz w:val="28"/>
          <w:szCs w:val="28"/>
          <w:highlight w:val="none"/>
          <w14:textFill>
            <w14:solidFill>
              <w14:schemeClr w14:val="tx1"/>
            </w14:solidFill>
          </w14:textFill>
        </w:rPr>
      </w:pPr>
      <w:r>
        <w:rPr>
          <w:rFonts w:hint="eastAsia" w:ascii="仿宋" w:hAnsi="仿宋" w:eastAsia="仿宋" w:cs="仿宋"/>
          <w:color w:val="000000" w:themeColor="text1"/>
          <w:kern w:val="2"/>
          <w:sz w:val="28"/>
          <w:szCs w:val="28"/>
          <w:highlight w:val="none"/>
          <w14:textFill>
            <w14:solidFill>
              <w14:schemeClr w14:val="tx1"/>
            </w14:solidFill>
          </w14:textFill>
        </w:rPr>
        <w:t>投标人须对其所提供资料的真实性和投标行为的合法性负责，如有作假或违纪，一经发现立即取消投标（中标）资格，没收履约保证金，列入学校采购不诚信企业名单，两年内不得参与学校所有采购项目，同时可在网上进行实名通报，乃至向省市政府采购主管部门报告相关投标人的不诚信行为。</w:t>
      </w:r>
    </w:p>
    <w:p>
      <w:pPr>
        <w:pStyle w:val="12"/>
        <w:numPr>
          <w:ilvl w:val="0"/>
          <w:numId w:val="0"/>
        </w:numPr>
        <w:shd w:val="clear" w:color="auto" w:fill="FFFFFF"/>
        <w:spacing w:before="0" w:beforeAutospacing="0" w:after="0" w:afterAutospacing="0" w:line="420" w:lineRule="exact"/>
        <w:jc w:val="both"/>
        <w:rPr>
          <w:rFonts w:hint="eastAsia" w:ascii="仿宋" w:hAnsi="仿宋" w:eastAsia="仿宋" w:cs="仿宋"/>
          <w:color w:val="000000" w:themeColor="text1"/>
          <w:kern w:val="2"/>
          <w:sz w:val="28"/>
          <w:szCs w:val="28"/>
          <w:highlight w:val="none"/>
          <w14:textFill>
            <w14:solidFill>
              <w14:schemeClr w14:val="tx1"/>
            </w14:solidFill>
          </w14:textFill>
        </w:rPr>
      </w:pPr>
    </w:p>
    <w:p>
      <w:pPr>
        <w:pStyle w:val="12"/>
        <w:numPr>
          <w:ilvl w:val="0"/>
          <w:numId w:val="0"/>
        </w:numPr>
        <w:shd w:val="clear" w:color="auto" w:fill="FFFFFF"/>
        <w:spacing w:before="0" w:beforeAutospacing="0" w:after="0" w:afterAutospacing="0" w:line="420" w:lineRule="exact"/>
        <w:jc w:val="both"/>
        <w:rPr>
          <w:rFonts w:hint="eastAsia" w:ascii="仿宋" w:hAnsi="仿宋" w:eastAsia="仿宋" w:cs="仿宋"/>
          <w:color w:val="000000" w:themeColor="text1"/>
          <w:kern w:val="2"/>
          <w:sz w:val="28"/>
          <w:szCs w:val="28"/>
          <w:highlight w:val="none"/>
          <w14:textFill>
            <w14:solidFill>
              <w14:schemeClr w14:val="tx1"/>
            </w14:solidFill>
          </w14:textFill>
        </w:rPr>
      </w:pPr>
    </w:p>
    <w:p>
      <w:pPr>
        <w:pStyle w:val="12"/>
        <w:numPr>
          <w:ilvl w:val="0"/>
          <w:numId w:val="0"/>
        </w:numPr>
        <w:shd w:val="clear" w:color="auto" w:fill="FFFFFF"/>
        <w:spacing w:before="0" w:beforeAutospacing="0" w:after="0" w:afterAutospacing="0" w:line="420" w:lineRule="exact"/>
        <w:jc w:val="both"/>
        <w:rPr>
          <w:rFonts w:hint="eastAsia" w:ascii="仿宋" w:hAnsi="仿宋" w:eastAsia="仿宋" w:cs="仿宋"/>
          <w:color w:val="000000" w:themeColor="text1"/>
          <w:kern w:val="2"/>
          <w:sz w:val="28"/>
          <w:szCs w:val="28"/>
          <w:highlight w:val="none"/>
          <w14:textFill>
            <w14:solidFill>
              <w14:schemeClr w14:val="tx1"/>
            </w14:solidFill>
          </w14:textFill>
        </w:rPr>
      </w:pPr>
    </w:p>
    <w:bookmarkEnd w:id="0"/>
    <w:p>
      <w:pPr>
        <w:rPr>
          <w:rFonts w:ascii="仿宋" w:hAnsi="仿宋" w:eastAsia="仿宋" w:cs="仿宋"/>
          <w:b/>
          <w:highlight w:val="none"/>
        </w:rPr>
      </w:pPr>
      <w:r>
        <w:rPr>
          <w:rFonts w:hint="eastAsia" w:ascii="仿宋" w:hAnsi="仿宋" w:eastAsia="仿宋" w:cs="仿宋"/>
          <w:b/>
          <w:highlight w:val="none"/>
        </w:rPr>
        <w:br w:type="page"/>
      </w:r>
    </w:p>
    <w:p>
      <w:pPr>
        <w:pStyle w:val="4"/>
        <w:jc w:val="center"/>
        <w:rPr>
          <w:rFonts w:ascii="仿宋" w:hAnsi="仿宋" w:cs="仿宋"/>
          <w:highlight w:val="none"/>
        </w:rPr>
      </w:pPr>
      <w:r>
        <w:rPr>
          <w:rFonts w:hint="eastAsia" w:ascii="仿宋" w:hAnsi="仿宋" w:cs="仿宋"/>
          <w:highlight w:val="none"/>
        </w:rPr>
        <w:t>第二章项目采购需求</w:t>
      </w:r>
    </w:p>
    <w:p>
      <w:pPr>
        <w:spacing w:line="360" w:lineRule="auto"/>
        <w:ind w:firstLine="482"/>
        <w:rPr>
          <w:rFonts w:ascii="仿宋" w:hAnsi="仿宋" w:eastAsia="仿宋" w:cs="仿宋"/>
          <w:b/>
          <w:szCs w:val="21"/>
          <w:highlight w:val="none"/>
        </w:rPr>
      </w:pPr>
      <w:r>
        <w:rPr>
          <w:rFonts w:hint="eastAsia" w:ascii="仿宋" w:hAnsi="仿宋" w:eastAsia="仿宋" w:cs="仿宋"/>
          <w:b/>
          <w:szCs w:val="21"/>
          <w:highlight w:val="none"/>
        </w:rPr>
        <w:t>一、项目概况</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按照《合同节水管理技术通则》（GB/T 034149-2017）、《高校合同节水项目实施导则》（T/CHES 33-2019）、《节水型高校评价标准》（T/CHES 32-2019）等相关文件的要求，采用合同节水管理模式。</w:t>
      </w:r>
      <w:r>
        <w:rPr>
          <w:rFonts w:hint="eastAsia" w:ascii="仿宋" w:hAnsi="仿宋" w:eastAsia="仿宋" w:cs="仿宋"/>
          <w:bCs/>
          <w:szCs w:val="21"/>
          <w:highlight w:val="none"/>
        </w:rPr>
        <w:t>在服</w:t>
      </w:r>
      <w:r>
        <w:rPr>
          <w:rFonts w:hint="eastAsia" w:ascii="仿宋" w:hAnsi="仿宋" w:eastAsia="仿宋" w:cs="仿宋"/>
          <w:szCs w:val="21"/>
          <w:highlight w:val="none"/>
        </w:rPr>
        <w:t>务期内，节水服务企业自筹资金和引入技术，对学校全部漏损供水管网进行修复或更换，建设学校合同节水管理平台，完善供水管网图，安装智能用水计量表具，进行终端节水器具改造，合理利用非常规水源等，实施全校供水管网综合治理，建立供水管理团队，以降低校园的整体水耗。</w:t>
      </w:r>
    </w:p>
    <w:p>
      <w:pPr>
        <w:tabs>
          <w:tab w:val="left" w:pos="1665"/>
        </w:tabs>
        <w:spacing w:line="360" w:lineRule="auto"/>
        <w:ind w:firstLine="371" w:firstLineChars="177"/>
        <w:rPr>
          <w:rFonts w:ascii="仿宋" w:hAnsi="仿宋" w:eastAsia="仿宋" w:cs="仿宋"/>
          <w:szCs w:val="21"/>
          <w:highlight w:val="none"/>
        </w:rPr>
      </w:pPr>
      <w:r>
        <w:rPr>
          <w:rFonts w:hint="eastAsia" w:ascii="仿宋" w:hAnsi="仿宋" w:eastAsia="仿宋" w:cs="仿宋"/>
          <w:szCs w:val="21"/>
          <w:highlight w:val="none"/>
        </w:rPr>
        <w:t>（一）项目实施区域为南昌职业大学，含地下供水管网、计量表具、终端用水器具等设施设备（楼栋室内支管及支管阀门、室内外消防管网设备等除外）；</w:t>
      </w:r>
    </w:p>
    <w:p>
      <w:pPr>
        <w:tabs>
          <w:tab w:val="left" w:pos="1665"/>
        </w:tabs>
        <w:spacing w:line="360" w:lineRule="auto"/>
        <w:ind w:firstLine="371" w:firstLineChars="177"/>
        <w:rPr>
          <w:rFonts w:ascii="仿宋" w:hAnsi="仿宋" w:eastAsia="仿宋" w:cs="仿宋"/>
          <w:szCs w:val="21"/>
          <w:highlight w:val="none"/>
        </w:rPr>
      </w:pPr>
      <w:r>
        <w:rPr>
          <w:rFonts w:hint="eastAsia" w:ascii="仿宋" w:hAnsi="仿宋" w:eastAsia="仿宋" w:cs="仿宋"/>
          <w:szCs w:val="21"/>
          <w:highlight w:val="none"/>
        </w:rPr>
        <w:t>（二）根据现勘调查情况，因地制宜，对项目供水系统进行综合节水改造，选择技术先进、经济合理的技术或产品，技术或产品必须必需符合国家相关的要求和规定，技术成熟、稳定可靠；</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（三）节水服务企业按照合同约定分享节水收益。合同期满后，节水服务企业投入的节水平台、设施、设备全部归学校所有；</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★（四）项目年节水率不低于1</w:t>
      </w:r>
      <w:r>
        <w:rPr>
          <w:rFonts w:ascii="仿宋" w:hAnsi="仿宋" w:eastAsia="仿宋" w:cs="仿宋"/>
          <w:szCs w:val="21"/>
          <w:highlight w:val="none"/>
        </w:rPr>
        <w:t>5</w:t>
      </w:r>
      <w:r>
        <w:rPr>
          <w:rFonts w:hint="eastAsia" w:ascii="仿宋" w:hAnsi="仿宋" w:eastAsia="仿宋" w:cs="仿宋"/>
          <w:szCs w:val="21"/>
          <w:highlight w:val="none"/>
        </w:rPr>
        <w:t>%。</w:t>
      </w:r>
    </w:p>
    <w:p>
      <w:pPr>
        <w:spacing w:line="360" w:lineRule="auto"/>
        <w:ind w:firstLine="422" w:firstLineChars="200"/>
        <w:rPr>
          <w:rFonts w:ascii="仿宋" w:hAnsi="仿宋" w:eastAsia="仿宋" w:cs="仿宋"/>
          <w:szCs w:val="21"/>
          <w:highlight w:val="none"/>
        </w:rPr>
      </w:pPr>
      <w:r>
        <w:rPr>
          <w:rFonts w:hint="eastAsia" w:ascii="仿宋" w:hAnsi="仿宋" w:eastAsia="仿宋" w:cs="仿宋"/>
          <w:b/>
          <w:szCs w:val="21"/>
          <w:highlight w:val="none"/>
        </w:rPr>
        <w:t>二、项目服务内容及要求（服务项目包含但不限于以下内容）</w:t>
      </w:r>
    </w:p>
    <w:tbl>
      <w:tblPr>
        <w:tblStyle w:val="14"/>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109"/>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jc w:val="center"/>
        </w:trPr>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highlight w:val="none"/>
              </w:rPr>
            </w:pPr>
            <w:bookmarkStart w:id="1" w:name="_Hlk71221415"/>
            <w:r>
              <w:rPr>
                <w:rFonts w:hint="eastAsia" w:ascii="仿宋" w:hAnsi="仿宋" w:eastAsia="仿宋" w:cs="仿宋"/>
                <w:b/>
                <w:szCs w:val="21"/>
                <w:highlight w:val="none"/>
              </w:rPr>
              <w:t>序号</w:t>
            </w:r>
          </w:p>
        </w:tc>
        <w:tc>
          <w:tcPr>
            <w:tcW w:w="1109"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szCs w:val="21"/>
                <w:highlight w:val="none"/>
              </w:rPr>
            </w:pPr>
            <w:r>
              <w:rPr>
                <w:rFonts w:hint="eastAsia" w:ascii="仿宋" w:hAnsi="仿宋" w:eastAsia="仿宋" w:cs="仿宋"/>
                <w:b/>
                <w:szCs w:val="21"/>
                <w:highlight w:val="none"/>
              </w:rPr>
              <w:t>技术服务内容</w:t>
            </w:r>
          </w:p>
        </w:tc>
        <w:tc>
          <w:tcPr>
            <w:tcW w:w="6662"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szCs w:val="21"/>
                <w:highlight w:val="none"/>
              </w:rPr>
            </w:pPr>
            <w:r>
              <w:rPr>
                <w:rFonts w:hint="eastAsia" w:ascii="仿宋" w:hAnsi="仿宋" w:eastAsia="仿宋" w:cs="仿宋"/>
                <w:b/>
                <w:szCs w:val="21"/>
                <w:highlight w:val="none"/>
              </w:rPr>
              <w:t>详细技术服务要求及标准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highlight w:val="none"/>
              </w:rPr>
            </w:pPr>
            <w:r>
              <w:rPr>
                <w:rFonts w:hint="eastAsia" w:ascii="仿宋" w:hAnsi="仿宋" w:eastAsia="仿宋" w:cs="仿宋"/>
                <w:b/>
                <w:szCs w:val="21"/>
                <w:highlight w:val="none"/>
              </w:rPr>
              <w:t>1</w:t>
            </w:r>
          </w:p>
        </w:tc>
        <w:tc>
          <w:tcPr>
            <w:tcW w:w="1109"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szCs w:val="21"/>
                <w:highlight w:val="none"/>
              </w:rPr>
            </w:pPr>
            <w:r>
              <w:rPr>
                <w:rFonts w:hint="eastAsia" w:ascii="仿宋" w:hAnsi="仿宋" w:eastAsia="仿宋" w:cs="仿宋"/>
                <w:b/>
                <w:szCs w:val="21"/>
                <w:highlight w:val="none"/>
              </w:rPr>
              <w:t>提供用水系统诊断解决方案</w:t>
            </w:r>
          </w:p>
        </w:tc>
        <w:tc>
          <w:tcPr>
            <w:tcW w:w="6662" w:type="dxa"/>
            <w:tcBorders>
              <w:top w:val="single" w:color="auto" w:sz="4" w:space="0"/>
              <w:left w:val="nil"/>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要求节水服务企业对学校用水情况进行系统分析，找出用水问题症结，并提出解决措施等。用水诊断工作中搜集的有关资料、原始记录、实测数据、影像资料等按照有关要求进行处理、分析和计算，形成一套完整翔实的图表和文字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highlight w:val="none"/>
              </w:rPr>
            </w:pPr>
            <w:r>
              <w:rPr>
                <w:rFonts w:hint="eastAsia" w:ascii="仿宋" w:hAnsi="仿宋" w:eastAsia="仿宋" w:cs="仿宋"/>
                <w:b/>
                <w:szCs w:val="21"/>
                <w:highlight w:val="none"/>
              </w:rPr>
              <w:t>2</w:t>
            </w:r>
          </w:p>
        </w:tc>
        <w:tc>
          <w:tcPr>
            <w:tcW w:w="1109"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szCs w:val="21"/>
                <w:highlight w:val="none"/>
              </w:rPr>
            </w:pPr>
            <w:r>
              <w:rPr>
                <w:rFonts w:hint="eastAsia" w:ascii="仿宋" w:hAnsi="仿宋" w:eastAsia="仿宋" w:cs="仿宋"/>
                <w:b/>
                <w:szCs w:val="21"/>
                <w:highlight w:val="none"/>
              </w:rPr>
              <w:t>建立合同节水管理平台</w:t>
            </w:r>
          </w:p>
        </w:tc>
        <w:tc>
          <w:tcPr>
            <w:tcW w:w="6662" w:type="dxa"/>
            <w:tcBorders>
              <w:top w:val="single" w:color="auto" w:sz="4" w:space="0"/>
              <w:left w:val="nil"/>
              <w:bottom w:val="single" w:color="auto" w:sz="4" w:space="0"/>
              <w:right w:val="single" w:color="auto" w:sz="4" w:space="0"/>
            </w:tcBorders>
            <w:vAlign w:val="center"/>
          </w:tcPr>
          <w:p>
            <w:pPr>
              <w:pStyle w:val="2"/>
              <w:ind w:left="0" w:leftChars="0" w:firstLine="0"/>
              <w:rPr>
                <w:rFonts w:ascii="仿宋" w:hAnsi="仿宋" w:eastAsia="仿宋" w:cs="仿宋"/>
                <w:sz w:val="21"/>
                <w:szCs w:val="21"/>
                <w:highlight w:val="none"/>
              </w:rPr>
            </w:pPr>
            <w:r>
              <w:rPr>
                <w:rFonts w:hint="eastAsia" w:ascii="仿宋" w:hAnsi="仿宋" w:eastAsia="仿宋" w:cs="仿宋"/>
                <w:sz w:val="21"/>
                <w:szCs w:val="21"/>
                <w:highlight w:val="none"/>
              </w:rPr>
              <w:t>建立包含校园能耗（用水）综合监管系统、供水管网用水计量监测管理系统、供水管网渗漏监测系统等系统的合同节水管理平台。平台数据应具有开放性和兼容性，可配合学校进行系统集成，配合学校提供数据或数据接口，纳入学校大数据中心。平台具体包含如下内容：</w:t>
            </w:r>
          </w:p>
          <w:p>
            <w:pPr>
              <w:pStyle w:val="2"/>
              <w:ind w:left="0" w:leftChars="0" w:firstLine="0"/>
              <w:rPr>
                <w:rFonts w:ascii="仿宋" w:hAnsi="仿宋" w:eastAsia="仿宋" w:cs="仿宋"/>
                <w:sz w:val="21"/>
                <w:szCs w:val="21"/>
                <w:highlight w:val="none"/>
              </w:rPr>
            </w:pPr>
            <w:r>
              <w:rPr>
                <w:rFonts w:hint="eastAsia" w:ascii="仿宋" w:hAnsi="仿宋" w:eastAsia="仿宋" w:cs="仿宋"/>
                <w:sz w:val="21"/>
                <w:szCs w:val="21"/>
                <w:highlight w:val="none"/>
              </w:rPr>
              <w:t>（1）校园能耗（用水）综合管控系统：对全校水能耗情况进行监测，具备能耗数据实时监测、图表显示、自动统计、节能分析、数据存贮、报表管理、数据上传等功能，满足日常管理需求。实现应用子系统、系统平台和底层网络之间的无缝联结，从而提高数据库、数据传输、应用系统等各层面的可用性和安全性。</w:t>
            </w:r>
          </w:p>
          <w:p>
            <w:pPr>
              <w:pStyle w:val="2"/>
              <w:ind w:left="0" w:leftChars="0" w:firstLine="0"/>
              <w:rPr>
                <w:rFonts w:ascii="仿宋" w:hAnsi="仿宋" w:eastAsia="仿宋" w:cs="仿宋"/>
                <w:sz w:val="21"/>
                <w:szCs w:val="21"/>
                <w:highlight w:val="none"/>
              </w:rPr>
            </w:pPr>
            <w:r>
              <w:rPr>
                <w:rFonts w:hint="eastAsia" w:ascii="仿宋" w:hAnsi="仿宋" w:eastAsia="仿宋" w:cs="仿宋"/>
                <w:sz w:val="21"/>
                <w:szCs w:val="21"/>
                <w:highlight w:val="none"/>
              </w:rPr>
              <w:t>（2）供水管网用水计量监测管理系统：全校供水管网分三级管理，实现智能化数据采集，做到全校用水计量统计、数据分析，监测供水管网水平衡状态。</w:t>
            </w:r>
          </w:p>
          <w:p>
            <w:pPr>
              <w:pStyle w:val="2"/>
              <w:ind w:left="0" w:leftChars="0" w:firstLine="0"/>
              <w:rPr>
                <w:highlight w:val="none"/>
              </w:rPr>
            </w:pPr>
            <w:r>
              <w:rPr>
                <w:rFonts w:hint="eastAsia" w:ascii="仿宋" w:hAnsi="仿宋" w:eastAsia="仿宋" w:cs="仿宋"/>
                <w:sz w:val="21"/>
                <w:szCs w:val="21"/>
                <w:highlight w:val="none"/>
              </w:rPr>
              <w:t>（3）供水管网渗漏监测系统：对管道运行状况进行在线实时监测，及时对管道泄漏进行警报并确定漏点位置，提高供水管网漏损探测的及时性和供水管道运行安全水平。侦测用水异常状况，为运维管理人员提供实时管网数据，及时发现和预防管网跑、冒、滴、漏状况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highlight w:val="none"/>
              </w:rPr>
            </w:pPr>
            <w:r>
              <w:rPr>
                <w:rFonts w:hint="eastAsia" w:ascii="仿宋" w:hAnsi="仿宋" w:eastAsia="仿宋" w:cs="仿宋"/>
                <w:b/>
                <w:szCs w:val="21"/>
                <w:highlight w:val="none"/>
              </w:rPr>
              <w:t>3</w:t>
            </w:r>
          </w:p>
        </w:tc>
        <w:tc>
          <w:tcPr>
            <w:tcW w:w="1109"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szCs w:val="21"/>
                <w:highlight w:val="none"/>
              </w:rPr>
            </w:pPr>
            <w:r>
              <w:rPr>
                <w:rFonts w:hint="eastAsia" w:ascii="仿宋" w:hAnsi="仿宋" w:eastAsia="仿宋" w:cs="仿宋"/>
                <w:b/>
                <w:szCs w:val="21"/>
                <w:highlight w:val="none"/>
              </w:rPr>
              <w:t>完善供水管网图</w:t>
            </w:r>
          </w:p>
        </w:tc>
        <w:tc>
          <w:tcPr>
            <w:tcW w:w="6662" w:type="dxa"/>
            <w:tcBorders>
              <w:top w:val="single" w:color="auto" w:sz="4" w:space="0"/>
              <w:left w:val="nil"/>
              <w:bottom w:val="single" w:color="auto" w:sz="4" w:space="0"/>
              <w:right w:val="single" w:color="auto" w:sz="4" w:space="0"/>
            </w:tcBorders>
            <w:vAlign w:val="center"/>
          </w:tcPr>
          <w:p>
            <w:pPr>
              <w:pStyle w:val="2"/>
              <w:ind w:left="0" w:leftChars="0" w:firstLine="0"/>
              <w:rPr>
                <w:highlight w:val="none"/>
              </w:rPr>
            </w:pPr>
            <w:bookmarkStart w:id="2" w:name="_Hlk119507718"/>
            <w:r>
              <w:rPr>
                <w:rFonts w:hint="eastAsia" w:ascii="仿宋" w:hAnsi="仿宋" w:eastAsia="仿宋" w:cs="仿宋"/>
                <w:sz w:val="21"/>
                <w:szCs w:val="21"/>
                <w:highlight w:val="none"/>
              </w:rPr>
              <w:t>对学校供水管网现状进行物探，在学校提供的历史资料上进行完善，要求涵盖管径、管材、水流等基本信息。随着管网逐步改造，不断更新供水管网图。绘制计量网络图、供水管网图等，资料完整且规范。</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highlight w:val="none"/>
              </w:rPr>
            </w:pPr>
            <w:r>
              <w:rPr>
                <w:rFonts w:hint="eastAsia" w:ascii="仿宋" w:hAnsi="仿宋" w:eastAsia="仿宋" w:cs="仿宋"/>
                <w:b/>
                <w:szCs w:val="21"/>
                <w:highlight w:val="none"/>
              </w:rPr>
              <w:t>4</w:t>
            </w:r>
          </w:p>
        </w:tc>
        <w:tc>
          <w:tcPr>
            <w:tcW w:w="1109"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szCs w:val="21"/>
                <w:highlight w:val="none"/>
              </w:rPr>
            </w:pPr>
            <w:r>
              <w:rPr>
                <w:rFonts w:hint="eastAsia" w:ascii="仿宋" w:hAnsi="仿宋" w:eastAsia="仿宋" w:cs="仿宋"/>
                <w:b/>
                <w:szCs w:val="21"/>
                <w:highlight w:val="none"/>
              </w:rPr>
              <w:t>修复、更换漏损供水管网</w:t>
            </w:r>
          </w:p>
        </w:tc>
        <w:tc>
          <w:tcPr>
            <w:tcW w:w="6662" w:type="dxa"/>
            <w:tcBorders>
              <w:top w:val="single" w:color="auto" w:sz="4" w:space="0"/>
              <w:left w:val="nil"/>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①对全校室外供水管网进行漏损检测，更换和维护老旧供水管网，修复管网漏损。</w:t>
            </w:r>
          </w:p>
          <w:p>
            <w:pPr>
              <w:rPr>
                <w:rFonts w:ascii="仿宋" w:hAnsi="仿宋" w:eastAsia="仿宋" w:cs="仿宋"/>
                <w:szCs w:val="21"/>
                <w:highlight w:val="none"/>
              </w:rPr>
            </w:pPr>
            <w:r>
              <w:rPr>
                <w:rFonts w:hint="eastAsia" w:ascii="仿宋" w:hAnsi="仿宋" w:eastAsia="仿宋" w:cs="仿宋"/>
                <w:szCs w:val="21"/>
                <w:highlight w:val="none"/>
              </w:rPr>
              <w:t>②针对学校现有生活供水管网进行漏点修复或更换，更换的管道口径不低于学校原有管网口径。</w:t>
            </w:r>
          </w:p>
          <w:p>
            <w:pPr>
              <w:rPr>
                <w:rFonts w:ascii="仿宋" w:hAnsi="仿宋" w:eastAsia="仿宋" w:cs="仿宋"/>
                <w:szCs w:val="21"/>
                <w:highlight w:val="none"/>
              </w:rPr>
            </w:pPr>
            <w:r>
              <w:rPr>
                <w:rFonts w:hint="eastAsia" w:ascii="仿宋" w:hAnsi="仿宋" w:eastAsia="仿宋" w:cs="仿宋"/>
                <w:szCs w:val="21"/>
                <w:highlight w:val="none"/>
              </w:rPr>
              <w:t>③施工过程中如遇到需破坏路面等情况，向学校报备允许后进行，施工完成后将使用同等效果，保证路面恢复至完好。</w:t>
            </w:r>
          </w:p>
          <w:p>
            <w:pPr>
              <w:pStyle w:val="27"/>
              <w:numPr>
                <w:ilvl w:val="0"/>
                <w:numId w:val="3"/>
              </w:numPr>
              <w:ind w:firstLineChars="0"/>
              <w:rPr>
                <w:rFonts w:ascii="仿宋" w:hAnsi="仿宋" w:eastAsia="仿宋" w:cs="仿宋"/>
                <w:szCs w:val="21"/>
                <w:highlight w:val="none"/>
              </w:rPr>
            </w:pPr>
            <w:r>
              <w:rPr>
                <w:rFonts w:hint="eastAsia" w:ascii="仿宋" w:hAnsi="仿宋" w:eastAsia="仿宋" w:cs="仿宋"/>
                <w:szCs w:val="21"/>
                <w:highlight w:val="none"/>
              </w:rPr>
              <w:t>维修边界：</w:t>
            </w:r>
          </w:p>
          <w:p>
            <w:pPr>
              <w:numPr>
                <w:ilvl w:val="0"/>
                <w:numId w:val="4"/>
              </w:numPr>
              <w:rPr>
                <w:rFonts w:ascii="仿宋" w:hAnsi="仿宋" w:eastAsia="仿宋" w:cs="仿宋"/>
                <w:szCs w:val="21"/>
                <w:highlight w:val="none"/>
              </w:rPr>
            </w:pPr>
            <w:r>
              <w:rPr>
                <w:rFonts w:hint="eastAsia" w:ascii="仿宋" w:hAnsi="仿宋" w:eastAsia="仿宋" w:cs="仿宋"/>
                <w:szCs w:val="21"/>
                <w:highlight w:val="none"/>
              </w:rPr>
              <w:t>运维期，甲乙双方共同负责对全校室外供水管网、用水设施设备等进行维护维修（室内管网、污水管网、消防管网设施、三供一业后的家属区、不可抗力产生的破坏除外），甲方或甲方聘请的第三方负责维修并承担相关的人工费用，乙方负责查漏并承担维修所需材料的相关费用</w:t>
            </w:r>
          </w:p>
          <w:p>
            <w:pPr>
              <w:numPr>
                <w:ilvl w:val="0"/>
                <w:numId w:val="5"/>
              </w:numPr>
              <w:rPr>
                <w:rFonts w:ascii="仿宋" w:hAnsi="仿宋" w:eastAsia="仿宋" w:cs="仿宋"/>
                <w:szCs w:val="21"/>
                <w:highlight w:val="none"/>
              </w:rPr>
            </w:pPr>
            <w:r>
              <w:rPr>
                <w:rFonts w:hint="eastAsia" w:ascii="仿宋" w:hAnsi="仿宋" w:eastAsia="仿宋" w:cs="仿宋"/>
                <w:szCs w:val="21"/>
                <w:highlight w:val="none"/>
              </w:rPr>
              <w:t>消防管道由节水服务企业负责协助查漏，查明所有漏点后告知甲方，由甲方负责安排专业第三方出资维修。消防管道、消防动力系统、消火栓、喷淋、消防水箱、消防水泵及控制柜等消防设施产生的漏损及修复不在节水服务企业修复范围内。</w:t>
            </w:r>
          </w:p>
          <w:p>
            <w:pPr>
              <w:numPr>
                <w:ilvl w:val="0"/>
                <w:numId w:val="5"/>
              </w:numPr>
              <w:rPr>
                <w:rFonts w:ascii="仿宋" w:hAnsi="仿宋" w:eastAsia="仿宋" w:cs="仿宋"/>
                <w:szCs w:val="21"/>
                <w:highlight w:val="none"/>
              </w:rPr>
            </w:pPr>
            <w:r>
              <w:rPr>
                <w:rFonts w:hint="eastAsia" w:ascii="仿宋" w:hAnsi="仿宋" w:eastAsia="仿宋" w:cs="仿宋"/>
                <w:szCs w:val="21"/>
                <w:highlight w:val="none"/>
              </w:rPr>
              <w:t>运维期，乙方正常修复需要而导致的道路及路灯等破坏，乙方应及时给与修复并恢复功能，产生的费用由乙方承担（沥青道路、塑胶跑道、建筑物、花坛和其他地面构筑物、不可抗力或特殊情况除外）。</w:t>
            </w:r>
          </w:p>
          <w:p>
            <w:pPr>
              <w:numPr>
                <w:ilvl w:val="0"/>
                <w:numId w:val="5"/>
              </w:numPr>
              <w:rPr>
                <w:rFonts w:ascii="仿宋" w:hAnsi="仿宋" w:eastAsia="仿宋" w:cs="仿宋"/>
                <w:szCs w:val="21"/>
                <w:highlight w:val="none"/>
              </w:rPr>
            </w:pPr>
            <w:r>
              <w:rPr>
                <w:rFonts w:hint="eastAsia" w:ascii="仿宋" w:hAnsi="仿宋" w:eastAsia="仿宋" w:cs="仿宋"/>
                <w:szCs w:val="21"/>
                <w:highlight w:val="none"/>
              </w:rPr>
              <w:t>因修复穿过校园绿化地带的原先供水系统之漏水点而必须触碰绿化地带植被，甲方负责对应绿化植被的暂时转移和恢复；因维修维护供水网管而不得已破坏原先防水层的，甲方负责恢复防水层；因维修维护供水网管而不得已需要移动其附近的电线、气管、通讯线缆等特殊管线的，甲方负责移动和恢复电线、气管、通讯线缆等特殊管线。</w:t>
            </w:r>
          </w:p>
          <w:p>
            <w:pPr>
              <w:numPr>
                <w:ilvl w:val="0"/>
                <w:numId w:val="5"/>
              </w:numPr>
              <w:rPr>
                <w:rFonts w:ascii="仿宋" w:hAnsi="仿宋" w:eastAsia="仿宋" w:cs="仿宋"/>
                <w:highlight w:val="none"/>
              </w:rPr>
            </w:pPr>
            <w:r>
              <w:rPr>
                <w:rFonts w:hint="eastAsia" w:ascii="仿宋" w:hAnsi="仿宋" w:eastAsia="仿宋" w:cs="仿宋"/>
                <w:szCs w:val="21"/>
                <w:highlight w:val="none"/>
              </w:rPr>
              <w:t>供水网管通过天花板、楼顶，或穿越楼栋墙壁的管段渗漏，乙方维修此渗漏的过程中所引起的其他问题或导致的损失，乙方不承担赔偿责任。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highlight w:val="none"/>
              </w:rPr>
            </w:pPr>
            <w:r>
              <w:rPr>
                <w:rFonts w:hint="eastAsia" w:ascii="仿宋" w:hAnsi="仿宋" w:eastAsia="仿宋" w:cs="仿宋"/>
                <w:b/>
                <w:szCs w:val="21"/>
                <w:highlight w:val="none"/>
              </w:rPr>
              <w:t>5</w:t>
            </w:r>
          </w:p>
        </w:tc>
        <w:tc>
          <w:tcPr>
            <w:tcW w:w="1109"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szCs w:val="21"/>
                <w:highlight w:val="none"/>
              </w:rPr>
            </w:pPr>
            <w:r>
              <w:rPr>
                <w:rFonts w:hint="eastAsia" w:ascii="仿宋" w:hAnsi="仿宋" w:eastAsia="仿宋" w:cs="仿宋"/>
                <w:b/>
                <w:szCs w:val="21"/>
                <w:highlight w:val="none"/>
              </w:rPr>
              <w:t>安装智能用水计量表具、探漏设备</w:t>
            </w:r>
          </w:p>
        </w:tc>
        <w:tc>
          <w:tcPr>
            <w:tcW w:w="6662" w:type="dxa"/>
            <w:tcBorders>
              <w:top w:val="single" w:color="auto" w:sz="4" w:space="0"/>
              <w:left w:val="nil"/>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根据校园供水管网计量体系，全面配置安装远程智能水表、阀门及相关传输设备，</w:t>
            </w:r>
            <w:r>
              <w:rPr>
                <w:rFonts w:hint="eastAsia" w:ascii="仿宋" w:hAnsi="仿宋" w:eastAsia="仿宋" w:cs="仿宋"/>
                <w:b/>
                <w:szCs w:val="21"/>
                <w:highlight w:val="none"/>
              </w:rPr>
              <w:t>一级、二级水表配备率和计量率均达到100%。</w:t>
            </w:r>
            <w:r>
              <w:rPr>
                <w:rFonts w:hint="eastAsia" w:ascii="仿宋" w:hAnsi="仿宋" w:eastAsia="仿宋" w:cs="仿宋"/>
                <w:szCs w:val="21"/>
                <w:highlight w:val="none"/>
              </w:rPr>
              <w:t>更换远程智能水表不少于</w:t>
            </w:r>
            <w:r>
              <w:rPr>
                <w:rFonts w:ascii="仿宋" w:hAnsi="仿宋" w:eastAsia="仿宋" w:cs="仿宋"/>
                <w:szCs w:val="21"/>
                <w:highlight w:val="none"/>
                <w:u w:val="single"/>
              </w:rPr>
              <w:t>80</w:t>
            </w:r>
            <w:r>
              <w:rPr>
                <w:rFonts w:hint="eastAsia" w:ascii="仿宋" w:hAnsi="仿宋" w:eastAsia="仿宋" w:cs="仿宋"/>
                <w:szCs w:val="21"/>
                <w:highlight w:val="none"/>
                <w:u w:val="single"/>
              </w:rPr>
              <w:t>只</w:t>
            </w:r>
            <w:r>
              <w:rPr>
                <w:rFonts w:hint="eastAsia" w:ascii="仿宋" w:hAnsi="仿宋" w:eastAsia="仿宋" w:cs="仿宋"/>
                <w:szCs w:val="21"/>
                <w:highlight w:val="none"/>
              </w:rPr>
              <w:t xml:space="preserve">。新增智能探漏设备需覆盖全校地下供水管线，安装数量不少于 </w:t>
            </w:r>
            <w:r>
              <w:rPr>
                <w:rFonts w:ascii="仿宋" w:hAnsi="仿宋" w:eastAsia="仿宋" w:cs="仿宋"/>
                <w:szCs w:val="21"/>
                <w:highlight w:val="none"/>
                <w:u w:val="single"/>
              </w:rPr>
              <w:t>80</w:t>
            </w:r>
            <w:r>
              <w:rPr>
                <w:rFonts w:hint="eastAsia" w:ascii="仿宋" w:hAnsi="仿宋" w:eastAsia="仿宋" w:cs="仿宋"/>
                <w:szCs w:val="21"/>
                <w:highlight w:val="none"/>
              </w:rPr>
              <w:t xml:space="preserve"> 套。</w:t>
            </w:r>
          </w:p>
          <w:p>
            <w:pPr>
              <w:numPr>
                <w:ilvl w:val="0"/>
                <w:numId w:val="6"/>
              </w:numPr>
              <w:rPr>
                <w:rFonts w:ascii="仿宋" w:hAnsi="仿宋" w:eastAsia="仿宋" w:cs="仿宋"/>
                <w:b/>
                <w:szCs w:val="21"/>
                <w:highlight w:val="none"/>
              </w:rPr>
            </w:pPr>
            <w:r>
              <w:rPr>
                <w:rFonts w:hint="eastAsia" w:ascii="仿宋" w:hAnsi="仿宋" w:eastAsia="仿宋" w:cs="仿宋"/>
                <w:b/>
                <w:szCs w:val="21"/>
                <w:highlight w:val="none"/>
              </w:rPr>
              <w:t>用水计量表具技术参数要求：</w:t>
            </w:r>
          </w:p>
          <w:p>
            <w:pPr>
              <w:rPr>
                <w:rFonts w:ascii="仿宋" w:hAnsi="仿宋" w:eastAsia="仿宋" w:cs="仿宋"/>
                <w:szCs w:val="21"/>
                <w:highlight w:val="none"/>
              </w:rPr>
            </w:pPr>
            <w:r>
              <w:rPr>
                <w:rFonts w:hint="eastAsia" w:ascii="仿宋" w:hAnsi="仿宋" w:eastAsia="仿宋" w:cs="仿宋"/>
                <w:szCs w:val="21"/>
                <w:highlight w:val="none"/>
              </w:rPr>
              <w:t>超声水表要求水表上、下游流场敏感度等级（直管段要求）不高于 U10、D5（前 10 后 5）；</w:t>
            </w:r>
          </w:p>
          <w:p>
            <w:pPr>
              <w:rPr>
                <w:rFonts w:ascii="仿宋" w:hAnsi="仿宋" w:eastAsia="仿宋" w:cs="仿宋"/>
                <w:szCs w:val="21"/>
                <w:highlight w:val="none"/>
              </w:rPr>
            </w:pPr>
            <w:r>
              <w:rPr>
                <w:rFonts w:hint="eastAsia" w:ascii="仿宋" w:hAnsi="仿宋" w:eastAsia="仿宋" w:cs="仿宋"/>
                <w:szCs w:val="21"/>
                <w:highlight w:val="none"/>
              </w:rPr>
              <w:t>量程比 Q3/Q1 不低于 160，Q2/Q1=1.6；</w:t>
            </w:r>
          </w:p>
          <w:p>
            <w:pPr>
              <w:rPr>
                <w:rFonts w:ascii="仿宋" w:hAnsi="仿宋" w:eastAsia="仿宋" w:cs="仿宋"/>
                <w:szCs w:val="21"/>
                <w:highlight w:val="none"/>
              </w:rPr>
            </w:pPr>
            <w:r>
              <w:rPr>
                <w:rFonts w:hint="eastAsia" w:ascii="仿宋" w:hAnsi="仿宋" w:eastAsia="仿宋" w:cs="仿宋"/>
                <w:szCs w:val="21"/>
                <w:highlight w:val="none"/>
              </w:rPr>
              <w:t>准确度等级不低于2级；</w:t>
            </w:r>
          </w:p>
          <w:p>
            <w:pPr>
              <w:rPr>
                <w:rFonts w:ascii="仿宋" w:hAnsi="仿宋" w:eastAsia="仿宋" w:cs="仿宋"/>
                <w:szCs w:val="21"/>
                <w:highlight w:val="none"/>
              </w:rPr>
            </w:pPr>
            <w:r>
              <w:rPr>
                <w:rFonts w:hint="eastAsia" w:ascii="仿宋" w:hAnsi="仿宋" w:eastAsia="仿宋" w:cs="仿宋"/>
                <w:szCs w:val="21"/>
                <w:highlight w:val="none"/>
              </w:rPr>
              <w:t>数据测量周期不低于 1 次/秒，为保证超声波水表电池使用寿命，电池规格不低于 ER34615，电量不低于 19Ah；</w:t>
            </w:r>
          </w:p>
          <w:p>
            <w:pPr>
              <w:rPr>
                <w:rFonts w:ascii="仿宋" w:hAnsi="仿宋" w:eastAsia="仿宋" w:cs="仿宋"/>
                <w:szCs w:val="21"/>
                <w:highlight w:val="none"/>
              </w:rPr>
            </w:pPr>
            <w:r>
              <w:rPr>
                <w:rFonts w:hint="eastAsia" w:ascii="仿宋" w:hAnsi="仿宋" w:eastAsia="仿宋" w:cs="仿宋"/>
                <w:szCs w:val="21"/>
                <w:highlight w:val="none"/>
              </w:rPr>
              <w:t>超声水表积分仪电器盒材质防尘防水；</w:t>
            </w:r>
          </w:p>
          <w:p>
            <w:pPr>
              <w:rPr>
                <w:rFonts w:ascii="仿宋" w:hAnsi="仿宋" w:eastAsia="仿宋" w:cs="仿宋"/>
                <w:szCs w:val="21"/>
                <w:highlight w:val="none"/>
              </w:rPr>
            </w:pPr>
            <w:r>
              <w:rPr>
                <w:rFonts w:hint="eastAsia" w:ascii="仿宋" w:hAnsi="仿宋" w:eastAsia="仿宋" w:cs="仿宋"/>
                <w:szCs w:val="21"/>
                <w:highlight w:val="none"/>
              </w:rPr>
              <w:t>公称压力：1.6Mpa 以上，压力损失≤40KPa；</w:t>
            </w:r>
          </w:p>
          <w:p>
            <w:pPr>
              <w:rPr>
                <w:rFonts w:ascii="仿宋" w:hAnsi="仿宋" w:eastAsia="仿宋" w:cs="仿宋"/>
                <w:szCs w:val="21"/>
                <w:highlight w:val="none"/>
              </w:rPr>
            </w:pPr>
            <w:r>
              <w:rPr>
                <w:rFonts w:hint="eastAsia" w:ascii="仿宋" w:hAnsi="仿宋" w:eastAsia="仿宋" w:cs="仿宋"/>
                <w:szCs w:val="21"/>
                <w:highlight w:val="none"/>
              </w:rPr>
              <w:t>工作环境温度：-20℃～+55℃；防护等级：IP68；</w:t>
            </w:r>
          </w:p>
          <w:p>
            <w:pPr>
              <w:rPr>
                <w:rFonts w:ascii="仿宋" w:hAnsi="仿宋" w:eastAsia="仿宋" w:cs="仿宋"/>
                <w:szCs w:val="21"/>
                <w:highlight w:val="none"/>
              </w:rPr>
            </w:pPr>
            <w:r>
              <w:rPr>
                <w:rFonts w:hint="eastAsia" w:ascii="仿宋" w:hAnsi="仿宋" w:eastAsia="仿宋" w:cs="仿宋"/>
                <w:szCs w:val="21"/>
                <w:highlight w:val="none"/>
              </w:rPr>
              <w:t>水表信息采集要求：水表实时在线信息、远传配置功能；</w:t>
            </w:r>
          </w:p>
          <w:p>
            <w:pPr>
              <w:rPr>
                <w:rFonts w:ascii="仿宋" w:hAnsi="仿宋" w:eastAsia="仿宋" w:cs="仿宋"/>
                <w:szCs w:val="21"/>
                <w:highlight w:val="none"/>
              </w:rPr>
            </w:pPr>
            <w:r>
              <w:rPr>
                <w:rFonts w:hint="eastAsia" w:ascii="仿宋" w:hAnsi="仿宋" w:eastAsia="仿宋" w:cs="仿宋"/>
                <w:szCs w:val="21"/>
                <w:highlight w:val="none"/>
              </w:rPr>
              <w:t>超声测量周期：1次/秒，传输数据与水表实际读数一致；</w:t>
            </w:r>
          </w:p>
          <w:p>
            <w:pPr>
              <w:rPr>
                <w:rFonts w:ascii="仿宋" w:hAnsi="仿宋" w:eastAsia="仿宋" w:cs="仿宋"/>
                <w:szCs w:val="21"/>
                <w:highlight w:val="none"/>
              </w:rPr>
            </w:pPr>
            <w:r>
              <w:rPr>
                <w:rFonts w:hint="eastAsia" w:ascii="仿宋" w:hAnsi="仿宋" w:eastAsia="仿宋" w:cs="仿宋"/>
                <w:szCs w:val="21"/>
                <w:highlight w:val="none"/>
              </w:rPr>
              <w:t>水表通讯要求：水表要有无线通讯模块，具有计量、存储、无线远传功能，能通过远端或近端进行设置调试，下行采用485通讯，上行采用NB-IoT通讯，水表具有抗震、防磁或具有抗干扰能力、长寿命、耐潮湿及盐雾浸蚀。</w:t>
            </w:r>
          </w:p>
          <w:p>
            <w:pPr>
              <w:numPr>
                <w:ilvl w:val="0"/>
                <w:numId w:val="6"/>
              </w:numPr>
              <w:rPr>
                <w:rFonts w:ascii="仿宋" w:hAnsi="仿宋" w:eastAsia="仿宋" w:cs="仿宋"/>
                <w:b/>
                <w:szCs w:val="21"/>
                <w:highlight w:val="none"/>
              </w:rPr>
            </w:pPr>
            <w:r>
              <w:rPr>
                <w:rFonts w:hint="eastAsia" w:ascii="仿宋" w:hAnsi="仿宋" w:eastAsia="仿宋" w:cs="仿宋"/>
                <w:b/>
                <w:szCs w:val="21"/>
                <w:highlight w:val="none"/>
              </w:rPr>
              <w:t>智能探漏设备技术参数要求：</w:t>
            </w:r>
          </w:p>
          <w:p>
            <w:pPr>
              <w:rPr>
                <w:rFonts w:ascii="仿宋" w:hAnsi="仿宋" w:eastAsia="仿宋" w:cs="仿宋"/>
                <w:szCs w:val="21"/>
                <w:highlight w:val="none"/>
              </w:rPr>
            </w:pPr>
            <w:r>
              <w:rPr>
                <w:rFonts w:hint="eastAsia" w:ascii="仿宋" w:hAnsi="仿宋" w:eastAsia="仿宋" w:cs="仿宋"/>
                <w:szCs w:val="21"/>
                <w:highlight w:val="none"/>
              </w:rPr>
              <w:t>设备安装在学校供水管网上，对供水管道的振动信号进行实时采集。高灵敏度探漏仪，具有漏点定位功能；</w:t>
            </w:r>
          </w:p>
          <w:p>
            <w:pPr>
              <w:rPr>
                <w:rFonts w:ascii="仿宋" w:hAnsi="仿宋" w:eastAsia="仿宋" w:cs="仿宋"/>
                <w:szCs w:val="21"/>
                <w:highlight w:val="none"/>
              </w:rPr>
            </w:pPr>
            <w:r>
              <w:rPr>
                <w:rFonts w:hint="eastAsia" w:ascii="仿宋" w:hAnsi="仿宋" w:eastAsia="仿宋" w:cs="仿宋"/>
                <w:szCs w:val="21"/>
                <w:highlight w:val="none"/>
              </w:rPr>
              <w:t>可支持多种通讯方式；</w:t>
            </w:r>
          </w:p>
          <w:p>
            <w:pPr>
              <w:rPr>
                <w:rFonts w:ascii="仿宋" w:hAnsi="仿宋" w:eastAsia="仿宋" w:cs="仿宋"/>
                <w:szCs w:val="21"/>
                <w:highlight w:val="none"/>
              </w:rPr>
            </w:pPr>
            <w:r>
              <w:rPr>
                <w:rFonts w:hint="eastAsia" w:ascii="仿宋" w:hAnsi="仿宋" w:eastAsia="仿宋" w:cs="仿宋"/>
                <w:szCs w:val="21"/>
                <w:highlight w:val="none"/>
              </w:rPr>
              <w:t>可支持实时在线监测和漏点定位；</w:t>
            </w:r>
          </w:p>
          <w:p>
            <w:pPr>
              <w:rPr>
                <w:rFonts w:ascii="仿宋" w:hAnsi="仿宋" w:eastAsia="仿宋" w:cs="仿宋"/>
                <w:szCs w:val="21"/>
                <w:highlight w:val="none"/>
              </w:rPr>
            </w:pPr>
            <w:r>
              <w:rPr>
                <w:rFonts w:hint="eastAsia" w:ascii="仿宋" w:hAnsi="仿宋" w:eastAsia="仿宋" w:cs="仿宋"/>
                <w:szCs w:val="21"/>
                <w:highlight w:val="none"/>
              </w:rPr>
              <w:t>漏点报警信息的准确率大于95%；</w:t>
            </w:r>
          </w:p>
          <w:p>
            <w:pPr>
              <w:rPr>
                <w:rFonts w:ascii="仿宋" w:hAnsi="仿宋" w:eastAsia="仿宋" w:cs="仿宋"/>
                <w:szCs w:val="21"/>
                <w:highlight w:val="none"/>
              </w:rPr>
            </w:pPr>
            <w:r>
              <w:rPr>
                <w:rFonts w:hint="eastAsia" w:ascii="仿宋" w:hAnsi="仿宋" w:eastAsia="仿宋" w:cs="仿宋"/>
                <w:szCs w:val="21"/>
                <w:highlight w:val="none"/>
              </w:rPr>
              <w:t>漏点定位精度误差不超过总长1% ；</w:t>
            </w:r>
          </w:p>
          <w:p>
            <w:pPr>
              <w:rPr>
                <w:rFonts w:ascii="仿宋" w:hAnsi="仿宋" w:eastAsia="仿宋" w:cs="仿宋"/>
                <w:szCs w:val="21"/>
                <w:highlight w:val="none"/>
              </w:rPr>
            </w:pPr>
            <w:r>
              <w:rPr>
                <w:rFonts w:hint="eastAsia" w:ascii="仿宋" w:hAnsi="仿宋" w:eastAsia="仿宋" w:cs="仿宋"/>
                <w:szCs w:val="21"/>
                <w:highlight w:val="none"/>
              </w:rPr>
              <w:t>采用分体式结构，具有防水功能；</w:t>
            </w:r>
          </w:p>
          <w:p>
            <w:pPr>
              <w:rPr>
                <w:rFonts w:ascii="仿宋" w:hAnsi="仿宋" w:eastAsia="仿宋" w:cs="仿宋"/>
                <w:szCs w:val="21"/>
                <w:highlight w:val="none"/>
              </w:rPr>
            </w:pPr>
            <w:r>
              <w:rPr>
                <w:rFonts w:hint="eastAsia" w:ascii="仿宋" w:hAnsi="仿宋" w:eastAsia="仿宋" w:cs="仿宋"/>
                <w:szCs w:val="21"/>
                <w:highlight w:val="none"/>
              </w:rPr>
              <w:t>无线通电方式，内置锂电池，使用寿命大于5年；</w:t>
            </w:r>
          </w:p>
          <w:p>
            <w:pPr>
              <w:rPr>
                <w:rFonts w:ascii="仿宋" w:hAnsi="仿宋" w:eastAsia="仿宋" w:cs="仿宋"/>
                <w:szCs w:val="21"/>
                <w:highlight w:val="none"/>
              </w:rPr>
            </w:pPr>
            <w:r>
              <w:rPr>
                <w:rFonts w:hint="eastAsia" w:ascii="仿宋" w:hAnsi="仿宋" w:eastAsia="仿宋" w:cs="仿宋"/>
                <w:szCs w:val="21"/>
                <w:highlight w:val="none"/>
              </w:rPr>
              <w:t>设备机械碰撞防护等级应满足 GB/T 20138—2006 规定的 IK07 级要求；</w:t>
            </w:r>
          </w:p>
          <w:p>
            <w:pPr>
              <w:rPr>
                <w:rFonts w:ascii="仿宋" w:hAnsi="仿宋" w:eastAsia="仿宋" w:cs="仿宋"/>
                <w:szCs w:val="21"/>
                <w:highlight w:val="none"/>
              </w:rPr>
            </w:pPr>
            <w:r>
              <w:rPr>
                <w:rFonts w:hint="eastAsia" w:ascii="仿宋" w:hAnsi="仿宋" w:eastAsia="仿宋" w:cs="仿宋"/>
                <w:b/>
                <w:bCs/>
                <w:szCs w:val="21"/>
                <w:highlight w:val="none"/>
              </w:rPr>
              <w:t>安装方式</w:t>
            </w:r>
            <w:r>
              <w:rPr>
                <w:rFonts w:hint="eastAsia" w:ascii="仿宋" w:hAnsi="仿宋" w:eastAsia="仿宋" w:cs="仿宋"/>
                <w:szCs w:val="21"/>
                <w:highlight w:val="none"/>
              </w:rPr>
              <w:t>：吸附式。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0"/>
                <w:szCs w:val="20"/>
                <w:highlight w:val="none"/>
              </w:rPr>
            </w:pPr>
            <w:r>
              <w:rPr>
                <w:rFonts w:hint="eastAsia" w:ascii="仿宋" w:hAnsi="仿宋" w:eastAsia="仿宋" w:cs="仿宋"/>
                <w:b/>
                <w:sz w:val="20"/>
                <w:szCs w:val="20"/>
                <w:highlight w:val="none"/>
              </w:rPr>
              <w:t>6</w:t>
            </w:r>
          </w:p>
        </w:tc>
        <w:tc>
          <w:tcPr>
            <w:tcW w:w="1109"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sz w:val="20"/>
                <w:szCs w:val="20"/>
                <w:highlight w:val="none"/>
              </w:rPr>
            </w:pPr>
            <w:r>
              <w:rPr>
                <w:rFonts w:hint="eastAsia" w:ascii="仿宋" w:hAnsi="仿宋" w:eastAsia="仿宋" w:cs="仿宋"/>
                <w:b/>
                <w:sz w:val="20"/>
                <w:szCs w:val="20"/>
                <w:highlight w:val="none"/>
              </w:rPr>
              <w:t>终端用水器具更换与维护</w:t>
            </w:r>
          </w:p>
        </w:tc>
        <w:tc>
          <w:tcPr>
            <w:tcW w:w="6662" w:type="dxa"/>
            <w:tcBorders>
              <w:top w:val="single" w:color="auto" w:sz="4" w:space="0"/>
              <w:left w:val="nil"/>
              <w:bottom w:val="single" w:color="auto" w:sz="4" w:space="0"/>
              <w:right w:val="single" w:color="auto" w:sz="4" w:space="0"/>
            </w:tcBorders>
            <w:vAlign w:val="center"/>
          </w:tcPr>
          <w:p>
            <w:pPr>
              <w:jc w:val="left"/>
              <w:rPr>
                <w:rFonts w:ascii="仿宋" w:hAnsi="仿宋" w:eastAsia="仿宋" w:cs="仿宋"/>
                <w:bCs/>
                <w:sz w:val="20"/>
                <w:szCs w:val="20"/>
                <w:highlight w:val="none"/>
              </w:rPr>
            </w:pPr>
            <w:r>
              <w:rPr>
                <w:rFonts w:hint="eastAsia" w:ascii="仿宋" w:hAnsi="仿宋" w:eastAsia="仿宋" w:cs="仿宋"/>
                <w:bCs/>
                <w:sz w:val="20"/>
                <w:szCs w:val="20"/>
                <w:highlight w:val="none"/>
              </w:rPr>
              <w:t>在保证正常用水舒适度的前提下，建设期内，乙方对终端用水器具进行巡查维修及更换；运维期内，节水服务企业负责对终端用水器具的跑冒滴漏的巡查，并提出整改方案交于甲方安排第三方维保单位或学校物业单位更换维修，维修确保设备符合国家节水型终端用水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0"/>
                <w:szCs w:val="20"/>
                <w:highlight w:val="none"/>
              </w:rPr>
            </w:pPr>
            <w:r>
              <w:rPr>
                <w:rFonts w:hint="eastAsia" w:ascii="仿宋" w:hAnsi="仿宋" w:eastAsia="仿宋" w:cs="仿宋"/>
                <w:b/>
                <w:sz w:val="20"/>
                <w:szCs w:val="20"/>
                <w:highlight w:val="none"/>
              </w:rPr>
              <w:t>7</w:t>
            </w:r>
          </w:p>
        </w:tc>
        <w:tc>
          <w:tcPr>
            <w:tcW w:w="1109"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sz w:val="20"/>
                <w:szCs w:val="20"/>
                <w:highlight w:val="none"/>
              </w:rPr>
            </w:pPr>
            <w:r>
              <w:rPr>
                <w:rFonts w:hint="eastAsia" w:ascii="仿宋" w:hAnsi="仿宋" w:eastAsia="仿宋" w:cs="仿宋"/>
                <w:b/>
                <w:sz w:val="20"/>
                <w:szCs w:val="20"/>
                <w:highlight w:val="none"/>
              </w:rPr>
              <w:t>日常运维管理</w:t>
            </w:r>
          </w:p>
        </w:tc>
        <w:tc>
          <w:tcPr>
            <w:tcW w:w="6662" w:type="dxa"/>
            <w:tcBorders>
              <w:top w:val="single" w:color="auto" w:sz="4" w:space="0"/>
              <w:left w:val="nil"/>
              <w:bottom w:val="single" w:color="auto" w:sz="4" w:space="0"/>
              <w:right w:val="single" w:color="auto" w:sz="4" w:space="0"/>
            </w:tcBorders>
            <w:vAlign w:val="center"/>
          </w:tcPr>
          <w:p>
            <w:pPr>
              <w:rPr>
                <w:rFonts w:ascii="仿宋" w:hAnsi="仿宋" w:eastAsia="仿宋" w:cs="仿宋"/>
                <w:sz w:val="20"/>
                <w:szCs w:val="20"/>
                <w:highlight w:val="none"/>
              </w:rPr>
            </w:pPr>
            <w:r>
              <w:rPr>
                <w:rFonts w:hint="eastAsia" w:ascii="仿宋" w:hAnsi="仿宋" w:eastAsia="仿宋" w:cs="仿宋"/>
                <w:b/>
                <w:sz w:val="20"/>
                <w:szCs w:val="20"/>
                <w:highlight w:val="none"/>
              </w:rPr>
              <w:t>合同期内，节水服务企业负责对约定的供水管网、用水设施设备等进行维护维修（室内管网、污水管网、消防管网设施、三供一业后的家属区除外）。</w:t>
            </w:r>
            <w:r>
              <w:rPr>
                <w:rFonts w:hint="eastAsia" w:ascii="仿宋" w:hAnsi="仿宋" w:eastAsia="仿宋" w:cs="仿宋"/>
                <w:sz w:val="20"/>
                <w:szCs w:val="20"/>
                <w:highlight w:val="none"/>
              </w:rPr>
              <w:t>遵守学校规章制度，不影响学校教学生活秩序，服从学校监督管理和指导。建立驻校节水管理服务团队，派专职管理人员提供技术服务</w:t>
            </w:r>
            <w:r>
              <w:rPr>
                <w:rFonts w:hint="eastAsia" w:ascii="仿宋" w:hAnsi="仿宋" w:eastAsia="仿宋" w:cs="仿宋"/>
                <w:b/>
                <w:sz w:val="20"/>
                <w:szCs w:val="20"/>
                <w:highlight w:val="none"/>
              </w:rPr>
              <w:t xml:space="preserve">（提供项目驻场维护人员不少于 </w:t>
            </w:r>
            <w:r>
              <w:rPr>
                <w:rFonts w:ascii="仿宋" w:hAnsi="仿宋" w:eastAsia="仿宋" w:cs="仿宋"/>
                <w:b/>
                <w:sz w:val="20"/>
                <w:szCs w:val="20"/>
                <w:highlight w:val="none"/>
                <w:u w:val="single"/>
              </w:rPr>
              <w:t>1</w:t>
            </w:r>
            <w:r>
              <w:rPr>
                <w:rFonts w:hint="eastAsia" w:ascii="仿宋" w:hAnsi="仿宋" w:eastAsia="仿宋" w:cs="仿宋"/>
                <w:b/>
                <w:sz w:val="20"/>
                <w:szCs w:val="20"/>
                <w:highlight w:val="none"/>
              </w:rPr>
              <w:t>人）</w:t>
            </w:r>
            <w:r>
              <w:rPr>
                <w:rFonts w:hint="eastAsia" w:ascii="仿宋" w:hAnsi="仿宋" w:eastAsia="仿宋" w:cs="仿宋"/>
                <w:sz w:val="20"/>
                <w:szCs w:val="20"/>
                <w:highlight w:val="none"/>
              </w:rPr>
              <w:t>。包含但不限于以下服务内容：</w:t>
            </w:r>
          </w:p>
          <w:p>
            <w:pPr>
              <w:numPr>
                <w:ilvl w:val="0"/>
                <w:numId w:val="7"/>
              </w:numPr>
              <w:rPr>
                <w:rFonts w:ascii="仿宋" w:hAnsi="仿宋" w:eastAsia="仿宋" w:cs="仿宋"/>
                <w:sz w:val="20"/>
                <w:szCs w:val="20"/>
                <w:highlight w:val="none"/>
              </w:rPr>
            </w:pPr>
            <w:r>
              <w:rPr>
                <w:rFonts w:hint="eastAsia" w:ascii="仿宋" w:hAnsi="仿宋" w:eastAsia="仿宋" w:cs="仿宋"/>
                <w:sz w:val="20"/>
                <w:szCs w:val="20"/>
                <w:highlight w:val="none"/>
              </w:rPr>
              <w:t>制定日常运维管理制度，对定期巡查维护、人员管理、用水安全、突发情况处理等工作明确要求、措施到位。</w:t>
            </w:r>
          </w:p>
          <w:p>
            <w:pPr>
              <w:numPr>
                <w:ilvl w:val="0"/>
                <w:numId w:val="7"/>
              </w:numPr>
              <w:rPr>
                <w:rFonts w:ascii="仿宋" w:hAnsi="仿宋" w:eastAsia="仿宋" w:cs="仿宋"/>
                <w:sz w:val="20"/>
                <w:szCs w:val="20"/>
                <w:highlight w:val="none"/>
              </w:rPr>
            </w:pPr>
            <w:r>
              <w:rPr>
                <w:rFonts w:hint="eastAsia" w:ascii="仿宋" w:hAnsi="仿宋" w:eastAsia="仿宋" w:cs="仿宋"/>
                <w:sz w:val="20"/>
                <w:szCs w:val="20"/>
                <w:highlight w:val="none"/>
              </w:rPr>
              <w:t>负责水管网日常管理、漏点修复，做好终端用水设备巡检，做好系统硬件设备维护等。维护合同节水管理平台，对用水管网定期检测，发现“跑、冒、滴、漏”现象及时处理；</w:t>
            </w:r>
          </w:p>
          <w:p>
            <w:pPr>
              <w:numPr>
                <w:ilvl w:val="0"/>
                <w:numId w:val="7"/>
              </w:numPr>
              <w:rPr>
                <w:rFonts w:ascii="仿宋" w:hAnsi="仿宋" w:eastAsia="仿宋" w:cs="仿宋"/>
                <w:sz w:val="20"/>
                <w:szCs w:val="20"/>
                <w:highlight w:val="none"/>
              </w:rPr>
            </w:pPr>
            <w:r>
              <w:rPr>
                <w:rFonts w:hint="eastAsia" w:ascii="仿宋" w:hAnsi="仿宋" w:eastAsia="仿宋" w:cs="仿宋"/>
                <w:sz w:val="20"/>
                <w:szCs w:val="20"/>
                <w:highlight w:val="none"/>
              </w:rPr>
              <w:t>发生管网破裂或漏水等情况时</w:t>
            </w:r>
            <w:r>
              <w:rPr>
                <w:rFonts w:ascii="仿宋" w:hAnsi="仿宋" w:eastAsia="仿宋" w:cs="仿宋"/>
                <w:sz w:val="20"/>
                <w:szCs w:val="20"/>
                <w:highlight w:val="none"/>
              </w:rPr>
              <w:t>24</w:t>
            </w:r>
            <w:r>
              <w:rPr>
                <w:rFonts w:hint="eastAsia" w:ascii="仿宋" w:hAnsi="仿宋" w:eastAsia="仿宋" w:cs="仿宋"/>
                <w:sz w:val="20"/>
                <w:szCs w:val="20"/>
                <w:highlight w:val="none"/>
              </w:rPr>
              <w:t>小时内到场并完成维修，零星维修12小时内完成，中型维修24小时内完成，大型维修48小时内完成排除（涉及开挖硬质路面等特殊情况除外）；</w:t>
            </w:r>
          </w:p>
          <w:p>
            <w:pPr>
              <w:numPr>
                <w:ilvl w:val="0"/>
                <w:numId w:val="7"/>
              </w:numPr>
              <w:rPr>
                <w:rFonts w:ascii="仿宋" w:hAnsi="仿宋" w:eastAsia="仿宋" w:cs="仿宋"/>
                <w:sz w:val="20"/>
                <w:szCs w:val="20"/>
                <w:highlight w:val="none"/>
              </w:rPr>
            </w:pPr>
            <w:r>
              <w:rPr>
                <w:rFonts w:hint="eastAsia" w:ascii="仿宋" w:hAnsi="仿宋" w:eastAsia="仿宋" w:cs="仿宋"/>
                <w:sz w:val="20"/>
                <w:szCs w:val="20"/>
                <w:highlight w:val="none"/>
              </w:rPr>
              <w:t>公共路面、广场、绿化等显著区域，如果因抢修检修需要开挖，施工方案需经学校确认后方可实施。所有抢修维修养护和安装等事项完毕第一时间清理现场，将杂异物自行清运出学校，维持校容校貌。</w:t>
            </w:r>
          </w:p>
          <w:p>
            <w:pPr>
              <w:numPr>
                <w:ilvl w:val="0"/>
                <w:numId w:val="7"/>
              </w:numPr>
              <w:rPr>
                <w:rFonts w:ascii="仿宋" w:hAnsi="仿宋" w:eastAsia="仿宋" w:cs="仿宋"/>
                <w:sz w:val="20"/>
                <w:szCs w:val="20"/>
                <w:highlight w:val="none"/>
              </w:rPr>
            </w:pPr>
            <w:r>
              <w:rPr>
                <w:rFonts w:hint="eastAsia" w:ascii="仿宋" w:hAnsi="仿宋" w:eastAsia="仿宋" w:cs="仿宋"/>
                <w:sz w:val="20"/>
                <w:szCs w:val="20"/>
                <w:highlight w:val="none"/>
              </w:rPr>
              <w:t>驻校服务人员应遵守学校各项规章制度，服从学校管理。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highlight w:val="none"/>
              </w:rPr>
            </w:pPr>
            <w:r>
              <w:rPr>
                <w:rFonts w:hint="eastAsia" w:ascii="仿宋" w:hAnsi="仿宋" w:eastAsia="仿宋" w:cs="仿宋"/>
                <w:b/>
                <w:szCs w:val="21"/>
                <w:highlight w:val="none"/>
              </w:rPr>
              <w:t>8</w:t>
            </w:r>
          </w:p>
        </w:tc>
        <w:tc>
          <w:tcPr>
            <w:tcW w:w="1109"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szCs w:val="21"/>
                <w:highlight w:val="none"/>
              </w:rPr>
            </w:pPr>
            <w:r>
              <w:rPr>
                <w:rFonts w:hint="eastAsia" w:ascii="仿宋" w:hAnsi="仿宋" w:eastAsia="仿宋" w:cs="仿宋"/>
                <w:b/>
                <w:szCs w:val="21"/>
                <w:highlight w:val="none"/>
              </w:rPr>
              <w:t>节水文化建设</w:t>
            </w:r>
          </w:p>
        </w:tc>
        <w:tc>
          <w:tcPr>
            <w:tcW w:w="6662" w:type="dxa"/>
            <w:tcBorders>
              <w:top w:val="single" w:color="auto" w:sz="4" w:space="0"/>
              <w:left w:val="nil"/>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完善节水管理相关制度，加大节水宣传教育，开展节水讲座、培训、观摩等节水教育活动，培育浓厚的校园节水文化。主要用水场所、用水设施、器具旁张贴节水宣传标志或标语。配合学校利用校园广播、网络、标识等宣传手段，向校内师生普及节水知识技能。开展节水实践活动，普及节水知识和技能，传播节水新技术、新工艺。配合学校完成节水型高校、绿色校园等创建工作。</w:t>
            </w:r>
          </w:p>
        </w:tc>
      </w:tr>
      <w:bookmarkEnd w:id="1"/>
    </w:tbl>
    <w:p>
      <w:pPr>
        <w:spacing w:after="120"/>
        <w:ind w:firstLine="422" w:firstLineChars="200"/>
        <w:rPr>
          <w:rFonts w:ascii="仿宋" w:hAnsi="仿宋" w:eastAsia="仿宋" w:cs="仿宋"/>
          <w:b/>
          <w:highlight w:val="none"/>
        </w:rPr>
      </w:pPr>
      <w:r>
        <w:rPr>
          <w:rFonts w:hint="eastAsia" w:ascii="仿宋" w:hAnsi="仿宋" w:eastAsia="仿宋" w:cs="仿宋"/>
          <w:b/>
          <w:highlight w:val="none"/>
        </w:rPr>
        <w:t>三、其他要求：</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1、项目的技术改造不能影响原设备的使用，并保证学校供水的安全性、可靠性。</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2、在项目实施期间，不得影响或干扰学校的正常教学、办公、科研等活动，保障校园及师生正常用水需求。</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3、项目建设期应完成全部建设期软硬件改造和投入。</w:t>
      </w:r>
    </w:p>
    <w:p>
      <w:pPr>
        <w:spacing w:after="120"/>
        <w:ind w:firstLine="422" w:firstLineChars="200"/>
        <w:rPr>
          <w:rFonts w:ascii="仿宋" w:hAnsi="仿宋" w:eastAsia="仿宋" w:cs="仿宋"/>
          <w:b/>
          <w:highlight w:val="none"/>
        </w:rPr>
      </w:pPr>
      <w:r>
        <w:rPr>
          <w:rFonts w:hint="eastAsia" w:ascii="仿宋" w:hAnsi="仿宋" w:eastAsia="仿宋" w:cs="仿宋"/>
          <w:b/>
          <w:highlight w:val="none"/>
        </w:rPr>
        <w:t>四、项目建设期投资清单及预算</w:t>
      </w:r>
    </w:p>
    <w:p>
      <w:pPr>
        <w:widowControl/>
        <w:spacing w:line="360" w:lineRule="auto"/>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投标时需提供项目建设期及运维期投资清单及预算。</w:t>
      </w:r>
    </w:p>
    <w:p>
      <w:pPr>
        <w:spacing w:line="360" w:lineRule="auto"/>
        <w:ind w:firstLine="482"/>
        <w:rPr>
          <w:rFonts w:ascii="仿宋" w:hAnsi="仿宋" w:eastAsia="仿宋" w:cs="仿宋"/>
          <w:bCs/>
          <w:szCs w:val="21"/>
          <w:highlight w:val="none"/>
        </w:rPr>
      </w:pPr>
      <w:r>
        <w:rPr>
          <w:rFonts w:hint="eastAsia" w:ascii="仿宋" w:hAnsi="仿宋" w:eastAsia="仿宋" w:cs="仿宋"/>
          <w:b/>
          <w:szCs w:val="21"/>
          <w:highlight w:val="none"/>
        </w:rPr>
        <w:t>五、项目</w:t>
      </w:r>
      <w:r>
        <w:rPr>
          <w:rFonts w:hint="eastAsia" w:ascii="仿宋" w:hAnsi="仿宋" w:eastAsia="仿宋" w:cs="仿宋"/>
          <w:b/>
          <w:bCs/>
          <w:szCs w:val="21"/>
          <w:highlight w:val="none"/>
        </w:rPr>
        <w:t>服务期限</w:t>
      </w:r>
    </w:p>
    <w:p>
      <w:pPr>
        <w:widowControl/>
        <w:adjustRightInd w:val="0"/>
        <w:snapToGrid w:val="0"/>
        <w:spacing w:line="360" w:lineRule="auto"/>
        <w:ind w:firstLine="420" w:firstLineChars="200"/>
        <w:jc w:val="left"/>
        <w:rPr>
          <w:rFonts w:ascii="仿宋" w:hAnsi="仿宋" w:eastAsia="仿宋" w:cs="仿宋"/>
          <w:szCs w:val="21"/>
          <w:highlight w:val="none"/>
          <w:shd w:val="pct10" w:color="auto" w:fill="FFFFFF"/>
        </w:rPr>
      </w:pPr>
      <w:r>
        <w:rPr>
          <w:rFonts w:hint="eastAsia" w:ascii="仿宋" w:hAnsi="仿宋" w:eastAsia="仿宋" w:cs="仿宋"/>
          <w:kern w:val="0"/>
          <w:szCs w:val="21"/>
          <w:highlight w:val="none"/>
        </w:rPr>
        <w:t>本项目施工建设期为</w:t>
      </w:r>
      <w:r>
        <w:rPr>
          <w:rFonts w:hint="eastAsia" w:ascii="仿宋" w:hAnsi="仿宋" w:eastAsia="仿宋" w:cs="仿宋"/>
          <w:b/>
          <w:szCs w:val="21"/>
          <w:highlight w:val="none"/>
          <w:u w:val="single"/>
        </w:rPr>
        <w:t xml:space="preserve"> 180天 </w:t>
      </w:r>
      <w:r>
        <w:rPr>
          <w:rFonts w:hint="eastAsia" w:ascii="仿宋" w:hAnsi="仿宋" w:eastAsia="仿宋" w:cs="仿宋"/>
          <w:kern w:val="0"/>
          <w:szCs w:val="21"/>
          <w:highlight w:val="none"/>
        </w:rPr>
        <w:t>，合同签订且项目实施方案双方盖章、签字确认后，由乙方向甲方提交施工进场申请及施工进度表，以甲方确认的施工进场日期为准开始计算。乙方须在期限内完成项目建设，若甲方未按合同约定及承诺履行义务或发生不可抗力事件而延误项目建设，则项目建设期相应顺延，顺延时间由双方另行约定。</w:t>
      </w:r>
    </w:p>
    <w:p>
      <w:pPr>
        <w:widowControl/>
        <w:adjustRightInd w:val="0"/>
        <w:snapToGrid w:val="0"/>
        <w:spacing w:line="360" w:lineRule="auto"/>
        <w:ind w:firstLine="420" w:firstLineChars="200"/>
        <w:jc w:val="left"/>
        <w:rPr>
          <w:rFonts w:ascii="仿宋" w:hAnsi="仿宋" w:eastAsia="仿宋" w:cs="仿宋"/>
          <w:kern w:val="0"/>
          <w:szCs w:val="21"/>
          <w:highlight w:val="none"/>
        </w:rPr>
      </w:pPr>
      <w:r>
        <w:rPr>
          <w:rFonts w:hint="eastAsia" w:ascii="仿宋" w:hAnsi="仿宋" w:eastAsia="仿宋" w:cs="仿宋"/>
          <w:kern w:val="0"/>
          <w:szCs w:val="21"/>
          <w:highlight w:val="none"/>
        </w:rPr>
        <w:t>本项目节水效益分享期限为</w:t>
      </w:r>
      <w:r>
        <w:rPr>
          <w:rFonts w:hint="eastAsia" w:ascii="仿宋" w:hAnsi="仿宋" w:eastAsia="仿宋" w:cs="仿宋"/>
          <w:b/>
          <w:kern w:val="0"/>
          <w:szCs w:val="21"/>
          <w:highlight w:val="none"/>
          <w:u w:val="single"/>
        </w:rPr>
        <w:t xml:space="preserve"> 1</w:t>
      </w:r>
      <w:r>
        <w:rPr>
          <w:rFonts w:ascii="仿宋" w:hAnsi="仿宋" w:eastAsia="仿宋" w:cs="仿宋"/>
          <w:b/>
          <w:kern w:val="0"/>
          <w:szCs w:val="21"/>
          <w:highlight w:val="none"/>
          <w:u w:val="single"/>
        </w:rPr>
        <w:t>2</w:t>
      </w:r>
      <w:r>
        <w:rPr>
          <w:rFonts w:hint="eastAsia" w:ascii="仿宋" w:hAnsi="仿宋" w:eastAsia="仿宋" w:cs="仿宋"/>
          <w:b/>
          <w:kern w:val="0"/>
          <w:szCs w:val="21"/>
          <w:highlight w:val="none"/>
          <w:u w:val="single"/>
        </w:rPr>
        <w:t xml:space="preserve"> </w:t>
      </w:r>
      <w:r>
        <w:rPr>
          <w:rFonts w:hint="eastAsia" w:ascii="仿宋" w:hAnsi="仿宋" w:eastAsia="仿宋" w:cs="仿宋"/>
          <w:b/>
          <w:kern w:val="0"/>
          <w:szCs w:val="21"/>
          <w:highlight w:val="none"/>
        </w:rPr>
        <w:t>年</w:t>
      </w:r>
      <w:r>
        <w:rPr>
          <w:rFonts w:hint="eastAsia" w:ascii="仿宋" w:hAnsi="仿宋" w:eastAsia="仿宋" w:cs="仿宋"/>
          <w:kern w:val="0"/>
          <w:szCs w:val="21"/>
          <w:highlight w:val="none"/>
        </w:rPr>
        <w:t>，项目完成施工建设并验收合格后，由乙方向甲方提交运维进场申请，自乙方提交运维进场申请的次月</w:t>
      </w:r>
      <w:r>
        <w:rPr>
          <w:rFonts w:hint="eastAsia" w:ascii="仿宋" w:hAnsi="仿宋" w:eastAsia="仿宋" w:cs="仿宋"/>
          <w:kern w:val="0"/>
          <w:szCs w:val="21"/>
          <w:highlight w:val="none"/>
          <w:u w:val="single"/>
        </w:rPr>
        <w:t xml:space="preserve"> 1 </w:t>
      </w:r>
      <w:r>
        <w:rPr>
          <w:rFonts w:hint="eastAsia" w:ascii="仿宋" w:hAnsi="仿宋" w:eastAsia="仿宋" w:cs="仿宋"/>
          <w:kern w:val="0"/>
          <w:szCs w:val="21"/>
          <w:highlight w:val="none"/>
        </w:rPr>
        <w:t>日起开始进入节水效益分享期，开始计算节水效益。</w:t>
      </w:r>
    </w:p>
    <w:p>
      <w:pPr>
        <w:spacing w:line="360" w:lineRule="auto"/>
        <w:ind w:firstLine="482"/>
        <w:rPr>
          <w:rFonts w:ascii="仿宋" w:hAnsi="仿宋" w:eastAsia="仿宋" w:cs="仿宋"/>
          <w:bCs/>
          <w:szCs w:val="21"/>
          <w:highlight w:val="none"/>
        </w:rPr>
      </w:pPr>
      <w:r>
        <w:rPr>
          <w:rFonts w:hint="eastAsia" w:ascii="仿宋" w:hAnsi="仿宋" w:eastAsia="仿宋" w:cs="仿宋"/>
          <w:b/>
          <w:szCs w:val="21"/>
          <w:highlight w:val="none"/>
        </w:rPr>
        <w:t>六、项目</w:t>
      </w:r>
      <w:r>
        <w:rPr>
          <w:rFonts w:hint="eastAsia" w:ascii="仿宋" w:hAnsi="仿宋" w:eastAsia="仿宋" w:cs="仿宋"/>
          <w:b/>
          <w:bCs/>
          <w:szCs w:val="21"/>
          <w:highlight w:val="none"/>
        </w:rPr>
        <w:t>验收</w:t>
      </w:r>
    </w:p>
    <w:p>
      <w:pPr>
        <w:widowControl/>
        <w:adjustRightInd w:val="0"/>
        <w:snapToGrid w:val="0"/>
        <w:spacing w:line="360" w:lineRule="auto"/>
        <w:ind w:firstLine="420" w:firstLineChars="200"/>
        <w:jc w:val="left"/>
        <w:rPr>
          <w:rFonts w:ascii="仿宋" w:hAnsi="仿宋" w:eastAsia="仿宋" w:cs="仿宋"/>
          <w:kern w:val="0"/>
          <w:szCs w:val="21"/>
          <w:highlight w:val="none"/>
        </w:rPr>
      </w:pPr>
      <w:r>
        <w:rPr>
          <w:rFonts w:hint="eastAsia" w:ascii="仿宋" w:hAnsi="仿宋" w:eastAsia="仿宋" w:cs="仿宋"/>
          <w:kern w:val="0"/>
          <w:szCs w:val="21"/>
          <w:highlight w:val="none"/>
        </w:rPr>
        <w:t>甲乙双方对项目验收约定如下：及时完成项目竣工的验收工作。乙方完成节水工程建设，并经过调试、正常运行后，乙方向甲方提出投入使用验收申请，并提交节水施工完成改造报告等相关验收材料，通过甲方验收部门对工程清单数量进行清点（金额不做审定）。自乙方向甲方提交节水施工完成改造报告之日起，15个工作日内双方组织人员实施验收工作。</w:t>
      </w:r>
    </w:p>
    <w:p>
      <w:pPr>
        <w:spacing w:line="360" w:lineRule="auto"/>
        <w:ind w:firstLine="482"/>
        <w:rPr>
          <w:rFonts w:ascii="仿宋" w:hAnsi="仿宋" w:eastAsia="仿宋" w:cs="仿宋"/>
          <w:bCs/>
          <w:szCs w:val="21"/>
          <w:highlight w:val="none"/>
        </w:rPr>
      </w:pPr>
      <w:r>
        <w:rPr>
          <w:rFonts w:hint="eastAsia" w:ascii="仿宋" w:hAnsi="仿宋" w:eastAsia="仿宋" w:cs="仿宋"/>
          <w:b/>
          <w:szCs w:val="21"/>
          <w:highlight w:val="none"/>
        </w:rPr>
        <w:t>七、项目</w:t>
      </w:r>
      <w:r>
        <w:rPr>
          <w:rFonts w:hint="eastAsia" w:ascii="仿宋" w:hAnsi="仿宋" w:eastAsia="仿宋" w:cs="仿宋"/>
          <w:b/>
          <w:bCs/>
          <w:szCs w:val="21"/>
          <w:highlight w:val="none"/>
        </w:rPr>
        <w:t>效益分享</w:t>
      </w:r>
    </w:p>
    <w:p>
      <w:pPr>
        <w:widowControl/>
        <w:adjustRightInd w:val="0"/>
        <w:snapToGrid w:val="0"/>
        <w:spacing w:line="360" w:lineRule="auto"/>
        <w:ind w:firstLine="422" w:firstLineChars="200"/>
        <w:jc w:val="left"/>
        <w:rPr>
          <w:rFonts w:ascii="仿宋" w:hAnsi="仿宋" w:eastAsia="仿宋" w:cs="仿宋"/>
          <w:b/>
          <w:kern w:val="0"/>
          <w:szCs w:val="21"/>
          <w:highlight w:val="none"/>
        </w:rPr>
      </w:pPr>
      <w:r>
        <w:rPr>
          <w:rFonts w:hint="eastAsia" w:ascii="仿宋" w:hAnsi="仿宋" w:eastAsia="仿宋" w:cs="仿宋"/>
          <w:b/>
          <w:kern w:val="0"/>
          <w:szCs w:val="21"/>
          <w:highlight w:val="none"/>
        </w:rPr>
        <w:t>（一）年总用水量基数：</w:t>
      </w:r>
      <w:r>
        <w:rPr>
          <w:rFonts w:ascii="仿宋" w:hAnsi="仿宋" w:eastAsia="仿宋" w:cs="仿宋"/>
          <w:bCs/>
          <w:kern w:val="0"/>
          <w:szCs w:val="21"/>
          <w:highlight w:val="none"/>
          <w:u w:val="single"/>
        </w:rPr>
        <w:t>110.27</w:t>
      </w:r>
      <w:r>
        <w:rPr>
          <w:rFonts w:hint="eastAsia" w:ascii="仿宋" w:hAnsi="仿宋" w:eastAsia="仿宋" w:cs="仿宋"/>
          <w:bCs/>
          <w:kern w:val="0"/>
          <w:szCs w:val="21"/>
          <w:highlight w:val="none"/>
        </w:rPr>
        <w:t>万吨。</w:t>
      </w:r>
    </w:p>
    <w:p>
      <w:pPr>
        <w:widowControl/>
        <w:adjustRightInd w:val="0"/>
        <w:snapToGrid w:val="0"/>
        <w:spacing w:line="360" w:lineRule="auto"/>
        <w:ind w:firstLine="422" w:firstLineChars="200"/>
        <w:jc w:val="left"/>
        <w:rPr>
          <w:rFonts w:ascii="仿宋" w:hAnsi="仿宋" w:eastAsia="仿宋" w:cs="仿宋"/>
          <w:bCs/>
          <w:kern w:val="0"/>
          <w:szCs w:val="21"/>
          <w:highlight w:val="none"/>
        </w:rPr>
      </w:pPr>
      <w:r>
        <w:rPr>
          <w:rFonts w:hint="eastAsia" w:ascii="仿宋" w:hAnsi="仿宋" w:eastAsia="仿宋" w:cs="仿宋"/>
          <w:b/>
          <w:kern w:val="0"/>
          <w:szCs w:val="21"/>
          <w:highlight w:val="none"/>
        </w:rPr>
        <w:t>（二）标准用水人数基数：</w:t>
      </w:r>
      <w:r>
        <w:rPr>
          <w:rFonts w:ascii="仿宋" w:hAnsi="仿宋" w:eastAsia="仿宋" w:cs="仿宋"/>
          <w:bCs/>
          <w:kern w:val="0"/>
          <w:szCs w:val="21"/>
          <w:highlight w:val="none"/>
          <w:u w:val="single"/>
        </w:rPr>
        <w:t>20130</w:t>
      </w:r>
      <w:r>
        <w:rPr>
          <w:rFonts w:hint="eastAsia" w:ascii="仿宋" w:hAnsi="仿宋" w:eastAsia="仿宋" w:cs="仿宋"/>
          <w:bCs/>
          <w:kern w:val="0"/>
          <w:szCs w:val="21"/>
          <w:highlight w:val="none"/>
        </w:rPr>
        <w:t>人。</w:t>
      </w:r>
    </w:p>
    <w:p>
      <w:pPr>
        <w:widowControl/>
        <w:adjustRightInd w:val="0"/>
        <w:snapToGrid w:val="0"/>
        <w:spacing w:line="360" w:lineRule="auto"/>
        <w:ind w:firstLine="422" w:firstLineChars="200"/>
        <w:jc w:val="left"/>
        <w:rPr>
          <w:rFonts w:ascii="仿宋" w:hAnsi="仿宋" w:eastAsia="仿宋" w:cs="仿宋"/>
          <w:b/>
          <w:kern w:val="0"/>
          <w:szCs w:val="21"/>
          <w:highlight w:val="none"/>
        </w:rPr>
      </w:pPr>
      <w:r>
        <w:rPr>
          <w:rFonts w:hint="eastAsia" w:ascii="仿宋" w:hAnsi="仿宋" w:eastAsia="仿宋" w:cs="仿宋"/>
          <w:b/>
          <w:kern w:val="0"/>
          <w:szCs w:val="21"/>
          <w:highlight w:val="none"/>
        </w:rPr>
        <w:t>（三）人均年用水量基数：</w:t>
      </w:r>
      <w:r>
        <w:rPr>
          <w:rFonts w:ascii="仿宋" w:hAnsi="仿宋" w:eastAsia="仿宋" w:cs="仿宋"/>
          <w:bCs/>
          <w:kern w:val="0"/>
          <w:szCs w:val="21"/>
          <w:highlight w:val="none"/>
          <w:u w:val="single"/>
        </w:rPr>
        <w:t>54.78</w:t>
      </w:r>
      <w:r>
        <w:rPr>
          <w:rFonts w:hint="eastAsia" w:ascii="仿宋" w:hAnsi="仿宋" w:eastAsia="仿宋" w:cs="仿宋"/>
          <w:bCs/>
          <w:kern w:val="0"/>
          <w:szCs w:val="21"/>
          <w:highlight w:val="none"/>
        </w:rPr>
        <w:t>（吨/年·人）。</w:t>
      </w:r>
    </w:p>
    <w:p>
      <w:pPr>
        <w:widowControl/>
        <w:adjustRightInd w:val="0"/>
        <w:snapToGrid w:val="0"/>
        <w:spacing w:line="360" w:lineRule="auto"/>
        <w:ind w:firstLine="422" w:firstLineChars="200"/>
        <w:jc w:val="left"/>
        <w:rPr>
          <w:rFonts w:ascii="仿宋" w:hAnsi="仿宋" w:eastAsia="仿宋" w:cs="仿宋"/>
          <w:kern w:val="0"/>
          <w:szCs w:val="21"/>
          <w:highlight w:val="none"/>
        </w:rPr>
      </w:pPr>
      <w:r>
        <w:rPr>
          <w:rFonts w:hint="eastAsia" w:ascii="仿宋" w:hAnsi="仿宋" w:eastAsia="仿宋" w:cs="仿宋"/>
          <w:b/>
          <w:kern w:val="0"/>
          <w:szCs w:val="21"/>
          <w:highlight w:val="none"/>
        </w:rPr>
        <w:t>（四）水价情况：</w:t>
      </w:r>
      <w:r>
        <w:rPr>
          <w:rFonts w:hint="eastAsia" w:ascii="仿宋" w:hAnsi="仿宋" w:eastAsia="仿宋" w:cs="仿宋"/>
          <w:kern w:val="0"/>
          <w:szCs w:val="21"/>
          <w:highlight w:val="none"/>
        </w:rPr>
        <w:t>现行水价</w:t>
      </w:r>
      <w:r>
        <w:rPr>
          <w:rFonts w:ascii="仿宋" w:hAnsi="仿宋" w:eastAsia="仿宋" w:cs="仿宋"/>
          <w:kern w:val="0"/>
          <w:szCs w:val="21"/>
          <w:highlight w:val="none"/>
          <w:u w:val="single"/>
        </w:rPr>
        <w:t>2.4</w:t>
      </w:r>
      <w:r>
        <w:rPr>
          <w:rFonts w:hint="eastAsia" w:ascii="仿宋" w:hAnsi="仿宋" w:eastAsia="仿宋" w:cs="仿宋"/>
          <w:kern w:val="0"/>
          <w:szCs w:val="21"/>
          <w:highlight w:val="none"/>
        </w:rPr>
        <w:t>元/吨；在本协议期限内，若遇水价调整时，按照调价后的水价核算节水效益。</w:t>
      </w:r>
    </w:p>
    <w:p>
      <w:pPr>
        <w:widowControl/>
        <w:adjustRightInd w:val="0"/>
        <w:snapToGrid w:val="0"/>
        <w:spacing w:line="360" w:lineRule="auto"/>
        <w:ind w:firstLine="422" w:firstLineChars="200"/>
        <w:jc w:val="left"/>
        <w:rPr>
          <w:rFonts w:ascii="仿宋" w:hAnsi="仿宋" w:eastAsia="仿宋" w:cs="仿宋"/>
          <w:b/>
          <w:kern w:val="0"/>
          <w:szCs w:val="21"/>
          <w:highlight w:val="none"/>
        </w:rPr>
      </w:pPr>
      <w:r>
        <w:rPr>
          <w:rFonts w:hint="eastAsia" w:ascii="仿宋" w:hAnsi="仿宋" w:eastAsia="仿宋" w:cs="仿宋"/>
          <w:b/>
          <w:kern w:val="0"/>
          <w:szCs w:val="21"/>
          <w:highlight w:val="none"/>
        </w:rPr>
        <w:t>（五）年节水量：</w:t>
      </w:r>
    </w:p>
    <w:p>
      <w:pPr>
        <w:widowControl/>
        <w:adjustRightInd w:val="0"/>
        <w:snapToGrid w:val="0"/>
        <w:spacing w:line="360" w:lineRule="auto"/>
        <w:ind w:firstLine="420" w:firstLineChars="200"/>
        <w:jc w:val="left"/>
        <w:rPr>
          <w:rFonts w:ascii="仿宋" w:hAnsi="仿宋" w:eastAsia="仿宋" w:cs="仿宋"/>
          <w:kern w:val="0"/>
          <w:szCs w:val="21"/>
          <w:highlight w:val="none"/>
        </w:rPr>
      </w:pPr>
      <w:r>
        <w:rPr>
          <w:rFonts w:hint="eastAsia" w:ascii="仿宋" w:hAnsi="仿宋" w:eastAsia="仿宋" w:cs="仿宋"/>
          <w:kern w:val="0"/>
          <w:szCs w:val="21"/>
          <w:highlight w:val="none"/>
        </w:rPr>
        <w:t>年节水量=年总用水量基数 -改造后当年年总用水量 +新增用水量（可为负数）</w:t>
      </w:r>
    </w:p>
    <w:p>
      <w:pPr>
        <w:widowControl/>
        <w:adjustRightInd w:val="0"/>
        <w:snapToGrid w:val="0"/>
        <w:spacing w:line="360" w:lineRule="auto"/>
        <w:ind w:firstLine="422" w:firstLineChars="200"/>
        <w:jc w:val="left"/>
        <w:rPr>
          <w:rFonts w:ascii="仿宋" w:hAnsi="仿宋" w:eastAsia="仿宋" w:cs="仿宋"/>
          <w:b/>
          <w:kern w:val="0"/>
          <w:szCs w:val="21"/>
          <w:highlight w:val="none"/>
        </w:rPr>
      </w:pPr>
      <w:r>
        <w:rPr>
          <w:rFonts w:hint="eastAsia" w:ascii="仿宋" w:hAnsi="仿宋" w:eastAsia="仿宋" w:cs="仿宋"/>
          <w:b/>
          <w:kern w:val="0"/>
          <w:szCs w:val="21"/>
          <w:highlight w:val="none"/>
        </w:rPr>
        <w:t>（六）年节水率：</w:t>
      </w:r>
    </w:p>
    <w:p>
      <w:pPr>
        <w:widowControl/>
        <w:adjustRightInd w:val="0"/>
        <w:snapToGrid w:val="0"/>
        <w:spacing w:line="360" w:lineRule="auto"/>
        <w:ind w:firstLine="420" w:firstLineChars="200"/>
        <w:jc w:val="left"/>
        <w:rPr>
          <w:rFonts w:ascii="仿宋" w:hAnsi="仿宋" w:eastAsia="仿宋" w:cs="仿宋"/>
          <w:kern w:val="0"/>
          <w:szCs w:val="21"/>
          <w:highlight w:val="none"/>
        </w:rPr>
      </w:pPr>
      <w:r>
        <w:rPr>
          <w:rFonts w:hint="eastAsia" w:ascii="仿宋" w:hAnsi="仿宋" w:eastAsia="仿宋" w:cs="仿宋"/>
          <w:kern w:val="0"/>
          <w:szCs w:val="21"/>
          <w:highlight w:val="none"/>
        </w:rPr>
        <w:t>年节水率</w:t>
      </w:r>
      <w:r>
        <w:rPr>
          <w:rFonts w:hint="eastAsia" w:ascii="仿宋" w:hAnsi="仿宋" w:eastAsia="仿宋" w:cs="仿宋"/>
          <w:b/>
          <w:kern w:val="0"/>
          <w:szCs w:val="21"/>
          <w:highlight w:val="none"/>
        </w:rPr>
        <w:t>=</w:t>
      </w:r>
      <w:r>
        <w:rPr>
          <w:rFonts w:hint="eastAsia" w:ascii="仿宋" w:hAnsi="仿宋" w:eastAsia="仿宋" w:cs="仿宋"/>
          <w:kern w:val="0"/>
          <w:szCs w:val="21"/>
          <w:highlight w:val="none"/>
        </w:rPr>
        <w:t>年节水量 /年总用水量基数 *100%</w:t>
      </w:r>
    </w:p>
    <w:p>
      <w:pPr>
        <w:widowControl/>
        <w:adjustRightInd w:val="0"/>
        <w:snapToGrid w:val="0"/>
        <w:spacing w:line="360" w:lineRule="auto"/>
        <w:ind w:firstLine="422" w:firstLineChars="200"/>
        <w:jc w:val="left"/>
        <w:rPr>
          <w:rFonts w:ascii="仿宋" w:hAnsi="仿宋" w:eastAsia="仿宋" w:cs="仿宋"/>
          <w:b/>
          <w:kern w:val="0"/>
          <w:szCs w:val="21"/>
          <w:highlight w:val="none"/>
        </w:rPr>
      </w:pPr>
      <w:r>
        <w:rPr>
          <w:rFonts w:hint="eastAsia" w:ascii="仿宋" w:hAnsi="仿宋" w:eastAsia="仿宋" w:cs="仿宋"/>
          <w:b/>
          <w:kern w:val="0"/>
          <w:szCs w:val="21"/>
          <w:highlight w:val="none"/>
        </w:rPr>
        <w:t>（七）年节水效益：</w:t>
      </w:r>
    </w:p>
    <w:p>
      <w:pPr>
        <w:widowControl/>
        <w:adjustRightInd w:val="0"/>
        <w:snapToGrid w:val="0"/>
        <w:spacing w:line="360" w:lineRule="auto"/>
        <w:ind w:firstLine="420" w:firstLineChars="200"/>
        <w:jc w:val="left"/>
        <w:rPr>
          <w:rFonts w:ascii="仿宋" w:hAnsi="仿宋" w:eastAsia="仿宋" w:cs="仿宋"/>
          <w:kern w:val="0"/>
          <w:szCs w:val="21"/>
          <w:highlight w:val="none"/>
        </w:rPr>
      </w:pPr>
      <w:r>
        <w:rPr>
          <w:rFonts w:hint="eastAsia" w:ascii="仿宋" w:hAnsi="仿宋" w:eastAsia="仿宋" w:cs="仿宋"/>
          <w:kern w:val="0"/>
          <w:szCs w:val="21"/>
          <w:highlight w:val="none"/>
        </w:rPr>
        <w:t>年节水收益=年节水量 *水价（以当年市场价为基准）</w:t>
      </w:r>
    </w:p>
    <w:p>
      <w:pPr>
        <w:widowControl/>
        <w:adjustRightInd w:val="0"/>
        <w:snapToGrid w:val="0"/>
        <w:spacing w:line="360" w:lineRule="auto"/>
        <w:ind w:firstLine="422" w:firstLineChars="200"/>
        <w:jc w:val="left"/>
        <w:rPr>
          <w:rFonts w:ascii="仿宋" w:hAnsi="仿宋" w:eastAsia="仿宋" w:cs="仿宋"/>
          <w:b/>
          <w:kern w:val="0"/>
          <w:szCs w:val="21"/>
          <w:highlight w:val="none"/>
        </w:rPr>
      </w:pPr>
      <w:r>
        <w:rPr>
          <w:rFonts w:hint="eastAsia" w:ascii="仿宋" w:hAnsi="仿宋" w:eastAsia="仿宋" w:cs="仿宋"/>
          <w:b/>
          <w:kern w:val="0"/>
          <w:szCs w:val="21"/>
          <w:highlight w:val="none"/>
        </w:rPr>
        <w:t>（八）效益分享比例:</w:t>
      </w:r>
    </w:p>
    <w:p>
      <w:pPr>
        <w:widowControl/>
        <w:adjustRightInd w:val="0"/>
        <w:snapToGrid w:val="0"/>
        <w:spacing w:line="360" w:lineRule="auto"/>
        <w:ind w:firstLine="420" w:firstLineChars="200"/>
        <w:jc w:val="left"/>
        <w:rPr>
          <w:rFonts w:ascii="仿宋" w:hAnsi="仿宋" w:eastAsia="仿宋" w:cs="仿宋"/>
          <w:kern w:val="0"/>
          <w:szCs w:val="21"/>
          <w:highlight w:val="none"/>
        </w:rPr>
      </w:pPr>
      <w:r>
        <w:rPr>
          <w:rFonts w:hint="eastAsia" w:ascii="仿宋" w:hAnsi="仿宋" w:eastAsia="仿宋" w:cs="仿宋"/>
          <w:kern w:val="0"/>
          <w:szCs w:val="21"/>
          <w:highlight w:val="none"/>
        </w:rPr>
        <w:t xml:space="preserve">以中标价为准 </w:t>
      </w:r>
    </w:p>
    <w:p>
      <w:pPr>
        <w:spacing w:line="360" w:lineRule="auto"/>
        <w:ind w:firstLine="482"/>
        <w:rPr>
          <w:rFonts w:ascii="仿宋" w:hAnsi="仿宋" w:eastAsia="仿宋" w:cs="仿宋"/>
          <w:bCs/>
          <w:szCs w:val="21"/>
          <w:highlight w:val="none"/>
        </w:rPr>
      </w:pPr>
      <w:r>
        <w:rPr>
          <w:rFonts w:hint="eastAsia" w:ascii="仿宋" w:hAnsi="仿宋" w:eastAsia="仿宋" w:cs="仿宋"/>
          <w:b/>
          <w:szCs w:val="21"/>
          <w:highlight w:val="none"/>
        </w:rPr>
        <w:t>八、付款方式</w:t>
      </w:r>
    </w:p>
    <w:p>
      <w:pPr>
        <w:spacing w:line="360" w:lineRule="auto"/>
        <w:ind w:firstLine="420" w:firstLineChars="200"/>
        <w:rPr>
          <w:rFonts w:ascii="仿宋" w:hAnsi="仿宋" w:eastAsia="仿宋" w:cs="仿宋"/>
          <w:kern w:val="0"/>
          <w:szCs w:val="21"/>
          <w:highlight w:val="none"/>
        </w:rPr>
      </w:pPr>
      <w:r>
        <w:rPr>
          <w:rFonts w:hint="eastAsia" w:ascii="仿宋" w:hAnsi="仿宋" w:eastAsia="仿宋" w:cs="仿宋"/>
          <w:kern w:val="0"/>
          <w:szCs w:val="21"/>
          <w:highlight w:val="none"/>
        </w:rPr>
        <w:t>年度节水效益分享费分四次支付给乙方，每一个季度为一次付费周期，每年结算一次总费用。</w:t>
      </w:r>
    </w:p>
    <w:p>
      <w:pPr>
        <w:spacing w:line="360" w:lineRule="auto"/>
        <w:ind w:firstLine="420" w:firstLineChars="200"/>
        <w:rPr>
          <w:rFonts w:ascii="仿宋" w:hAnsi="仿宋" w:eastAsia="仿宋" w:cs="仿宋"/>
          <w:kern w:val="0"/>
          <w:szCs w:val="21"/>
          <w:highlight w:val="none"/>
        </w:rPr>
      </w:pPr>
      <w:r>
        <w:rPr>
          <w:rFonts w:hint="eastAsia" w:ascii="仿宋" w:hAnsi="仿宋" w:eastAsia="仿宋" w:cs="仿宋"/>
          <w:kern w:val="0"/>
          <w:szCs w:val="21"/>
          <w:highlight w:val="none"/>
        </w:rPr>
        <w:t>1、季度结算方式</w:t>
      </w:r>
    </w:p>
    <w:p>
      <w:pPr>
        <w:spacing w:line="360" w:lineRule="auto"/>
        <w:ind w:firstLine="420" w:firstLineChars="200"/>
        <w:rPr>
          <w:rFonts w:ascii="仿宋" w:hAnsi="仿宋" w:eastAsia="仿宋" w:cs="仿宋"/>
          <w:kern w:val="0"/>
          <w:szCs w:val="21"/>
          <w:highlight w:val="none"/>
        </w:rPr>
      </w:pPr>
      <w:r>
        <w:rPr>
          <w:rFonts w:hint="eastAsia" w:ascii="仿宋" w:hAnsi="仿宋" w:eastAsia="仿宋" w:cs="仿宋"/>
          <w:kern w:val="0"/>
          <w:szCs w:val="21"/>
          <w:highlight w:val="none"/>
        </w:rPr>
        <w:t>由甲方出具自来水公司提供的甲方合同节水管理项目区域范围内</w:t>
      </w:r>
      <w:r>
        <w:rPr>
          <w:rFonts w:hint="eastAsia" w:ascii="仿宋" w:hAnsi="仿宋" w:eastAsia="仿宋" w:cs="仿宋"/>
          <w:kern w:val="0"/>
          <w:szCs w:val="21"/>
          <w:highlight w:val="none"/>
          <w:u w:val="single"/>
        </w:rPr>
        <w:t xml:space="preserve"> </w:t>
      </w:r>
      <w:r>
        <w:rPr>
          <w:rFonts w:ascii="仿宋" w:hAnsi="仿宋" w:eastAsia="仿宋" w:cs="仿宋"/>
          <w:kern w:val="0"/>
          <w:szCs w:val="21"/>
          <w:highlight w:val="none"/>
          <w:u w:val="single"/>
        </w:rPr>
        <w:t>202</w:t>
      </w:r>
      <w:r>
        <w:rPr>
          <w:rFonts w:hint="eastAsia" w:ascii="仿宋" w:hAnsi="仿宋" w:eastAsia="仿宋" w:cs="仿宋"/>
          <w:kern w:val="0"/>
          <w:szCs w:val="21"/>
          <w:highlight w:val="none"/>
          <w:u w:val="single"/>
        </w:rPr>
        <w:t>2</w:t>
      </w:r>
      <w:r>
        <w:rPr>
          <w:rFonts w:hint="eastAsia" w:ascii="仿宋" w:hAnsi="仿宋" w:eastAsia="仿宋" w:cs="仿宋"/>
          <w:kern w:val="0"/>
          <w:szCs w:val="21"/>
          <w:highlight w:val="none"/>
        </w:rPr>
        <w:t>年各月份水费清单复印件（加盖公章）作为依据，根据</w:t>
      </w:r>
      <w:r>
        <w:rPr>
          <w:rFonts w:hint="eastAsia" w:ascii="仿宋" w:hAnsi="仿宋" w:eastAsia="仿宋" w:cs="仿宋"/>
          <w:kern w:val="0"/>
          <w:szCs w:val="21"/>
          <w:highlight w:val="none"/>
          <w:u w:val="single"/>
        </w:rPr>
        <w:t xml:space="preserve"> </w:t>
      </w:r>
      <w:r>
        <w:rPr>
          <w:rFonts w:ascii="仿宋" w:hAnsi="仿宋" w:eastAsia="仿宋" w:cs="仿宋"/>
          <w:kern w:val="0"/>
          <w:szCs w:val="21"/>
          <w:highlight w:val="none"/>
          <w:u w:val="single"/>
        </w:rPr>
        <w:t>202</w:t>
      </w:r>
      <w:r>
        <w:rPr>
          <w:rFonts w:hint="eastAsia" w:ascii="仿宋" w:hAnsi="仿宋" w:eastAsia="仿宋" w:cs="仿宋"/>
          <w:kern w:val="0"/>
          <w:szCs w:val="21"/>
          <w:highlight w:val="none"/>
          <w:u w:val="single"/>
        </w:rPr>
        <w:t>2</w:t>
      </w:r>
      <w:r>
        <w:rPr>
          <w:rFonts w:hint="eastAsia" w:ascii="仿宋" w:hAnsi="仿宋" w:eastAsia="仿宋" w:cs="仿宋"/>
          <w:kern w:val="0"/>
          <w:szCs w:val="21"/>
          <w:highlight w:val="none"/>
        </w:rPr>
        <w:t>年各月份水费占比作为今后各月份节水基数的占比，具体计算方式如下：</w:t>
      </w:r>
    </w:p>
    <w:p>
      <w:pPr>
        <w:spacing w:line="360" w:lineRule="auto"/>
        <w:ind w:firstLine="420" w:firstLineChars="200"/>
        <w:rPr>
          <w:rFonts w:ascii="仿宋" w:hAnsi="仿宋" w:eastAsia="仿宋" w:cs="仿宋"/>
          <w:kern w:val="0"/>
          <w:szCs w:val="21"/>
          <w:highlight w:val="none"/>
        </w:rPr>
      </w:pPr>
      <w:r>
        <w:rPr>
          <w:rFonts w:hint="eastAsia" w:ascii="仿宋" w:hAnsi="仿宋" w:eastAsia="仿宋" w:cs="仿宋"/>
          <w:kern w:val="0"/>
          <w:szCs w:val="21"/>
          <w:highlight w:val="none"/>
        </w:rPr>
        <w:t>结算期内乙方季度结算金额=[（X1+X2+X3）÷X×A-（B1+B2+B3）]×C×D</w:t>
      </w:r>
    </w:p>
    <w:p>
      <w:pPr>
        <w:spacing w:line="360" w:lineRule="auto"/>
        <w:ind w:firstLine="420" w:firstLineChars="200"/>
        <w:rPr>
          <w:rFonts w:ascii="仿宋" w:hAnsi="仿宋" w:eastAsia="仿宋" w:cs="仿宋"/>
          <w:kern w:val="0"/>
          <w:szCs w:val="21"/>
          <w:highlight w:val="none"/>
        </w:rPr>
      </w:pPr>
      <w:r>
        <w:rPr>
          <w:rFonts w:hint="eastAsia" w:ascii="仿宋" w:hAnsi="仿宋" w:eastAsia="仿宋" w:cs="仿宋"/>
          <w:kern w:val="0"/>
          <w:szCs w:val="21"/>
          <w:highlight w:val="none"/>
        </w:rPr>
        <w:t>公式说明：</w:t>
      </w:r>
    </w:p>
    <w:p>
      <w:pPr>
        <w:spacing w:line="360" w:lineRule="auto"/>
        <w:ind w:firstLine="420" w:firstLineChars="200"/>
        <w:rPr>
          <w:rFonts w:ascii="仿宋" w:hAnsi="仿宋" w:eastAsia="仿宋" w:cs="仿宋"/>
          <w:kern w:val="0"/>
          <w:szCs w:val="21"/>
          <w:highlight w:val="none"/>
        </w:rPr>
      </w:pPr>
      <w:r>
        <w:rPr>
          <w:rFonts w:hint="eastAsia" w:ascii="仿宋" w:hAnsi="仿宋" w:eastAsia="仿宋" w:cs="仿宋"/>
          <w:kern w:val="0"/>
          <w:szCs w:val="21"/>
          <w:highlight w:val="none"/>
        </w:rPr>
        <w:t>“X”：基准年甲方合同节水管理项目所在校区全年用水量（基准年是用来测算各季度用水量占全年用水量比率的，本项目确认以</w:t>
      </w:r>
      <w:r>
        <w:rPr>
          <w:rFonts w:hint="eastAsia" w:ascii="仿宋" w:hAnsi="仿宋" w:eastAsia="仿宋" w:cs="仿宋"/>
          <w:kern w:val="0"/>
          <w:szCs w:val="21"/>
          <w:highlight w:val="none"/>
          <w:u w:val="single"/>
        </w:rPr>
        <w:t xml:space="preserve"> </w:t>
      </w:r>
      <w:r>
        <w:rPr>
          <w:rFonts w:ascii="仿宋" w:hAnsi="仿宋" w:eastAsia="仿宋" w:cs="仿宋"/>
          <w:kern w:val="0"/>
          <w:szCs w:val="21"/>
          <w:highlight w:val="none"/>
          <w:u w:val="single"/>
        </w:rPr>
        <w:t>202</w:t>
      </w:r>
      <w:r>
        <w:rPr>
          <w:rFonts w:hint="eastAsia" w:ascii="仿宋" w:hAnsi="仿宋" w:eastAsia="仿宋" w:cs="仿宋"/>
          <w:kern w:val="0"/>
          <w:szCs w:val="21"/>
          <w:highlight w:val="none"/>
          <w:u w:val="single"/>
        </w:rPr>
        <w:t xml:space="preserve">2 </w:t>
      </w:r>
      <w:r>
        <w:rPr>
          <w:rFonts w:hint="eastAsia" w:ascii="仿宋" w:hAnsi="仿宋" w:eastAsia="仿宋" w:cs="仿宋"/>
          <w:kern w:val="0"/>
          <w:szCs w:val="21"/>
          <w:highlight w:val="none"/>
        </w:rPr>
        <w:t>年为基准年）；</w:t>
      </w:r>
    </w:p>
    <w:p>
      <w:pPr>
        <w:spacing w:line="360" w:lineRule="auto"/>
        <w:ind w:firstLine="420" w:firstLineChars="200"/>
        <w:rPr>
          <w:rFonts w:ascii="仿宋" w:hAnsi="仿宋" w:eastAsia="仿宋" w:cs="仿宋"/>
          <w:kern w:val="0"/>
          <w:szCs w:val="21"/>
          <w:highlight w:val="none"/>
        </w:rPr>
      </w:pPr>
      <w:r>
        <w:rPr>
          <w:rFonts w:hint="eastAsia" w:ascii="仿宋" w:hAnsi="仿宋" w:eastAsia="仿宋" w:cs="仿宋"/>
          <w:kern w:val="0"/>
          <w:szCs w:val="21"/>
          <w:highlight w:val="none"/>
        </w:rPr>
        <w:t>“X1、X2……X12”：基准年甲方合同节水管理项目所在校区与结算期同期对应的月度用水量；</w:t>
      </w:r>
    </w:p>
    <w:p>
      <w:pPr>
        <w:spacing w:line="360" w:lineRule="auto"/>
        <w:ind w:firstLine="420" w:firstLineChars="200"/>
        <w:rPr>
          <w:rFonts w:ascii="仿宋" w:hAnsi="仿宋" w:eastAsia="仿宋" w:cs="仿宋"/>
          <w:kern w:val="0"/>
          <w:szCs w:val="21"/>
          <w:highlight w:val="none"/>
        </w:rPr>
      </w:pPr>
      <w:r>
        <w:rPr>
          <w:rFonts w:hint="eastAsia" w:ascii="仿宋" w:hAnsi="仿宋" w:eastAsia="仿宋" w:cs="仿宋"/>
          <w:kern w:val="0"/>
          <w:szCs w:val="21"/>
          <w:highlight w:val="none"/>
        </w:rPr>
        <w:t>“A”：年用水量基数；</w:t>
      </w:r>
    </w:p>
    <w:p>
      <w:pPr>
        <w:spacing w:line="360" w:lineRule="auto"/>
        <w:ind w:firstLine="420" w:firstLineChars="200"/>
        <w:rPr>
          <w:rFonts w:ascii="仿宋" w:hAnsi="仿宋" w:eastAsia="仿宋" w:cs="仿宋"/>
          <w:kern w:val="0"/>
          <w:szCs w:val="21"/>
          <w:highlight w:val="none"/>
        </w:rPr>
      </w:pPr>
      <w:r>
        <w:rPr>
          <w:rFonts w:hint="eastAsia" w:ascii="仿宋" w:hAnsi="仿宋" w:eastAsia="仿宋" w:cs="仿宋"/>
          <w:kern w:val="0"/>
          <w:szCs w:val="21"/>
          <w:highlight w:val="none"/>
        </w:rPr>
        <w:t>“B”：对应结算期的年度核定用水量；</w:t>
      </w:r>
    </w:p>
    <w:p>
      <w:pPr>
        <w:spacing w:line="360" w:lineRule="auto"/>
        <w:ind w:firstLine="420" w:firstLineChars="200"/>
        <w:rPr>
          <w:rFonts w:ascii="仿宋" w:hAnsi="仿宋" w:eastAsia="仿宋" w:cs="仿宋"/>
          <w:kern w:val="0"/>
          <w:szCs w:val="21"/>
          <w:highlight w:val="none"/>
        </w:rPr>
      </w:pPr>
      <w:r>
        <w:rPr>
          <w:rFonts w:hint="eastAsia" w:ascii="仿宋" w:hAnsi="仿宋" w:eastAsia="仿宋" w:cs="仿宋"/>
          <w:kern w:val="0"/>
          <w:szCs w:val="21"/>
          <w:highlight w:val="none"/>
        </w:rPr>
        <w:t>“B1、B2……B12”：对应结算期的月度核定用水量；</w:t>
      </w:r>
    </w:p>
    <w:p>
      <w:pPr>
        <w:spacing w:line="360" w:lineRule="auto"/>
        <w:ind w:firstLine="420" w:firstLineChars="200"/>
        <w:rPr>
          <w:rFonts w:ascii="仿宋" w:hAnsi="仿宋" w:eastAsia="仿宋" w:cs="仿宋"/>
          <w:kern w:val="0"/>
          <w:szCs w:val="21"/>
          <w:highlight w:val="none"/>
        </w:rPr>
      </w:pPr>
      <w:r>
        <w:rPr>
          <w:rFonts w:hint="eastAsia" w:ascii="仿宋" w:hAnsi="仿宋" w:eastAsia="仿宋" w:cs="仿宋"/>
          <w:kern w:val="0"/>
          <w:szCs w:val="21"/>
          <w:highlight w:val="none"/>
        </w:rPr>
        <w:t>“C”：水价（本项目节水效益计算所用水费单价以地方市政供水部门水费单价标准执行。如遇政策性调整，自调整之日起按调整后的价格执行。）；</w:t>
      </w:r>
    </w:p>
    <w:p>
      <w:pPr>
        <w:spacing w:line="360" w:lineRule="auto"/>
        <w:ind w:firstLine="420" w:firstLineChars="200"/>
        <w:rPr>
          <w:rFonts w:ascii="仿宋" w:hAnsi="仿宋" w:eastAsia="仿宋" w:cs="仿宋"/>
          <w:kern w:val="0"/>
          <w:szCs w:val="21"/>
          <w:highlight w:val="none"/>
        </w:rPr>
      </w:pPr>
      <w:r>
        <w:rPr>
          <w:rFonts w:hint="eastAsia" w:ascii="仿宋" w:hAnsi="仿宋" w:eastAsia="仿宋" w:cs="仿宋"/>
          <w:kern w:val="0"/>
          <w:szCs w:val="21"/>
          <w:highlight w:val="none"/>
        </w:rPr>
        <w:t>“D”：乙方节水效益分享比例。</w:t>
      </w:r>
    </w:p>
    <w:p>
      <w:pPr>
        <w:spacing w:line="360" w:lineRule="auto"/>
        <w:ind w:firstLine="420" w:firstLineChars="200"/>
        <w:rPr>
          <w:rFonts w:ascii="仿宋" w:hAnsi="仿宋" w:eastAsia="仿宋" w:cs="仿宋"/>
          <w:kern w:val="0"/>
          <w:szCs w:val="21"/>
          <w:highlight w:val="none"/>
        </w:rPr>
      </w:pPr>
      <w:r>
        <w:rPr>
          <w:rFonts w:hint="eastAsia" w:ascii="仿宋" w:hAnsi="仿宋" w:eastAsia="仿宋" w:cs="仿宋"/>
          <w:kern w:val="0"/>
          <w:szCs w:val="21"/>
          <w:highlight w:val="none"/>
        </w:rPr>
        <w:t>2、年度结算方式</w:t>
      </w:r>
    </w:p>
    <w:p>
      <w:pPr>
        <w:spacing w:line="360" w:lineRule="auto"/>
        <w:ind w:firstLine="420" w:firstLineChars="200"/>
        <w:rPr>
          <w:rFonts w:ascii="仿宋" w:hAnsi="仿宋" w:eastAsia="仿宋" w:cs="仿宋"/>
          <w:kern w:val="0"/>
          <w:szCs w:val="21"/>
          <w:highlight w:val="none"/>
        </w:rPr>
      </w:pPr>
      <w:r>
        <w:rPr>
          <w:rFonts w:hint="eastAsia" w:ascii="仿宋" w:hAnsi="仿宋" w:eastAsia="仿宋" w:cs="仿宋"/>
          <w:kern w:val="0"/>
          <w:szCs w:val="21"/>
          <w:highlight w:val="none"/>
        </w:rPr>
        <w:t>结算期内乙方年度结算金额=（A－B）×C×D-前3季度已结算金额</w:t>
      </w:r>
    </w:p>
    <w:p>
      <w:pPr>
        <w:spacing w:line="360" w:lineRule="auto"/>
        <w:ind w:firstLine="420" w:firstLineChars="200"/>
        <w:rPr>
          <w:rFonts w:ascii="仿宋" w:hAnsi="仿宋" w:eastAsia="仿宋" w:cs="仿宋"/>
          <w:kern w:val="0"/>
          <w:szCs w:val="21"/>
          <w:highlight w:val="none"/>
        </w:rPr>
      </w:pPr>
      <w:r>
        <w:rPr>
          <w:rFonts w:hint="eastAsia" w:ascii="仿宋" w:hAnsi="仿宋" w:eastAsia="仿宋" w:cs="仿宋"/>
          <w:kern w:val="0"/>
          <w:szCs w:val="21"/>
          <w:highlight w:val="none"/>
        </w:rPr>
        <w:t>公式说明：</w:t>
      </w:r>
    </w:p>
    <w:p>
      <w:pPr>
        <w:spacing w:line="360" w:lineRule="auto"/>
        <w:ind w:firstLine="420" w:firstLineChars="200"/>
        <w:rPr>
          <w:rFonts w:ascii="仿宋" w:hAnsi="仿宋" w:eastAsia="仿宋" w:cs="仿宋"/>
          <w:kern w:val="0"/>
          <w:szCs w:val="21"/>
          <w:highlight w:val="none"/>
        </w:rPr>
      </w:pPr>
      <w:r>
        <w:rPr>
          <w:rFonts w:hint="eastAsia" w:ascii="仿宋" w:hAnsi="仿宋" w:eastAsia="仿宋" w:cs="仿宋"/>
          <w:kern w:val="0"/>
          <w:szCs w:val="21"/>
          <w:highlight w:val="none"/>
        </w:rPr>
        <w:t>“A”：年用水量基数；</w:t>
      </w:r>
    </w:p>
    <w:p>
      <w:pPr>
        <w:spacing w:line="360" w:lineRule="auto"/>
        <w:ind w:firstLine="420" w:firstLineChars="200"/>
        <w:rPr>
          <w:rFonts w:ascii="仿宋" w:hAnsi="仿宋" w:eastAsia="仿宋" w:cs="仿宋"/>
          <w:kern w:val="0"/>
          <w:szCs w:val="21"/>
          <w:highlight w:val="none"/>
        </w:rPr>
      </w:pPr>
      <w:r>
        <w:rPr>
          <w:rFonts w:hint="eastAsia" w:ascii="仿宋" w:hAnsi="仿宋" w:eastAsia="仿宋" w:cs="仿宋"/>
          <w:kern w:val="0"/>
          <w:szCs w:val="21"/>
          <w:highlight w:val="none"/>
        </w:rPr>
        <w:t>“B”：对应结算期的年度核定用水量；</w:t>
      </w:r>
    </w:p>
    <w:p>
      <w:pPr>
        <w:spacing w:line="360" w:lineRule="auto"/>
        <w:ind w:firstLine="420" w:firstLineChars="200"/>
        <w:rPr>
          <w:rFonts w:ascii="仿宋" w:hAnsi="仿宋" w:eastAsia="仿宋" w:cs="仿宋"/>
          <w:kern w:val="0"/>
          <w:szCs w:val="21"/>
          <w:highlight w:val="none"/>
        </w:rPr>
      </w:pPr>
      <w:r>
        <w:rPr>
          <w:rFonts w:hint="eastAsia" w:ascii="仿宋" w:hAnsi="仿宋" w:eastAsia="仿宋" w:cs="仿宋"/>
          <w:kern w:val="0"/>
          <w:szCs w:val="21"/>
          <w:highlight w:val="none"/>
        </w:rPr>
        <w:t>“C”：水价（本项目节水效益计算所用水费单价以地方市政供水部门水费单价标准执行。如遇政策性调整，自调整之日起按调整后的价格执行。）；</w:t>
      </w:r>
    </w:p>
    <w:p>
      <w:pPr>
        <w:spacing w:line="360" w:lineRule="auto"/>
        <w:ind w:firstLine="420" w:firstLineChars="200"/>
        <w:rPr>
          <w:rFonts w:ascii="仿宋" w:hAnsi="仿宋" w:eastAsia="仿宋" w:cs="仿宋"/>
          <w:kern w:val="0"/>
          <w:szCs w:val="21"/>
          <w:highlight w:val="none"/>
        </w:rPr>
      </w:pPr>
      <w:r>
        <w:rPr>
          <w:rFonts w:hint="eastAsia" w:ascii="仿宋" w:hAnsi="仿宋" w:eastAsia="仿宋" w:cs="仿宋"/>
          <w:kern w:val="0"/>
          <w:szCs w:val="21"/>
          <w:highlight w:val="none"/>
        </w:rPr>
        <w:t>“D”：乙方节水效益分享比例。</w:t>
      </w:r>
    </w:p>
    <w:p>
      <w:pPr>
        <w:pStyle w:val="21"/>
        <w:jc w:val="center"/>
        <w:rPr>
          <w:rFonts w:ascii="仿宋" w:hAnsi="仿宋" w:eastAsia="仿宋" w:cs="仿宋"/>
          <w:sz w:val="21"/>
          <w:highlight w:val="none"/>
        </w:rPr>
      </w:pPr>
      <w:bookmarkStart w:id="3" w:name="EB096656c399364d05b79d29f8c6f98d2b"/>
    </w:p>
    <w:bookmarkEnd w:id="3"/>
    <w:p>
      <w:pPr>
        <w:rPr>
          <w:rFonts w:ascii="仿宋" w:hAnsi="仿宋" w:eastAsia="仿宋" w:cs="仿宋"/>
          <w:color w:val="000080"/>
          <w:sz w:val="20"/>
          <w:highlight w:val="none"/>
        </w:rPr>
      </w:pPr>
    </w:p>
    <w:p>
      <w:pPr>
        <w:rPr>
          <w:rFonts w:ascii="仿宋" w:hAnsi="仿宋" w:eastAsia="仿宋" w:cs="仿宋"/>
          <w:highlight w:val="none"/>
        </w:rPr>
      </w:pPr>
      <w:bookmarkStart w:id="4" w:name="EB75ac358feb494d70816a847c2317ebf5"/>
      <w:r>
        <w:rPr>
          <w:rFonts w:hint="eastAsia" w:ascii="仿宋" w:hAnsi="仿宋" w:eastAsia="仿宋" w:cs="仿宋"/>
          <w:color w:val="000080"/>
          <w:sz w:val="20"/>
          <w:highlight w:val="none"/>
        </w:rPr>
        <w:t xml:space="preserve"> </w:t>
      </w:r>
      <w:bookmarkEnd w:id="4"/>
      <w:bookmarkStart w:id="5" w:name="EB1b4bd9e4f3fc4e759cba70fd0a668c20"/>
      <w:r>
        <w:rPr>
          <w:rFonts w:hint="eastAsia" w:ascii="仿宋" w:hAnsi="仿宋" w:eastAsia="仿宋" w:cs="仿宋"/>
          <w:color w:val="000080"/>
          <w:sz w:val="20"/>
          <w:highlight w:val="none"/>
        </w:rPr>
        <w:t xml:space="preserve"> </w:t>
      </w:r>
      <w:bookmarkEnd w:id="5"/>
    </w:p>
    <w:p>
      <w:pPr>
        <w:rPr>
          <w:rFonts w:ascii="仿宋" w:hAnsi="仿宋" w:eastAsia="仿宋" w:cs="仿宋"/>
          <w:highlight w:val="none"/>
        </w:rPr>
      </w:pPr>
      <w:bookmarkStart w:id="6" w:name="EB49ffcfb2fa5f468e8149045c2fb54301"/>
      <w:r>
        <w:rPr>
          <w:rFonts w:hint="eastAsia" w:ascii="仿宋" w:hAnsi="仿宋" w:eastAsia="仿宋" w:cs="仿宋"/>
          <w:color w:val="000080"/>
          <w:sz w:val="20"/>
          <w:highlight w:val="none"/>
        </w:rPr>
        <w:t xml:space="preserve"> </w:t>
      </w:r>
      <w:bookmarkEnd w:id="6"/>
    </w:p>
    <w:p>
      <w:pPr>
        <w:spacing w:line="360" w:lineRule="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cs="仿宋"/>
          <w:sz w:val="28"/>
          <w:szCs w:val="28"/>
          <w:highlight w:val="none"/>
        </w:rPr>
        <w:br w:type="page"/>
      </w:r>
    </w:p>
    <w:p>
      <w:pPr>
        <w:pStyle w:val="4"/>
        <w:jc w:val="center"/>
        <w:rPr>
          <w:rFonts w:ascii="仿宋" w:hAnsi="仿宋" w:cs="仿宋"/>
          <w:highlight w:val="none"/>
        </w:rPr>
      </w:pPr>
      <w:r>
        <w:rPr>
          <w:rFonts w:hint="eastAsia" w:ascii="仿宋" w:hAnsi="仿宋" w:cs="仿宋"/>
          <w:highlight w:val="none"/>
        </w:rPr>
        <w:t>第三章投标文件样式</w:t>
      </w:r>
    </w:p>
    <w:p>
      <w:pPr>
        <w:rPr>
          <w:rFonts w:ascii="仿宋" w:hAnsi="仿宋" w:eastAsia="仿宋" w:cs="仿宋"/>
          <w:color w:val="000000" w:themeColor="text1"/>
          <w:sz w:val="28"/>
          <w:szCs w:val="28"/>
          <w:highlight w:val="none"/>
          <w14:textFill>
            <w14:solidFill>
              <w14:schemeClr w14:val="tx1"/>
            </w14:solidFill>
          </w14:textFill>
        </w:rPr>
      </w:pPr>
    </w:p>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一、投标文件封面和材料袋格式</w:t>
      </w:r>
    </w:p>
    <w:p>
      <w:pPr>
        <w:rPr>
          <w:rFonts w:ascii="仿宋" w:hAnsi="仿宋" w:eastAsia="仿宋" w:cs="仿宋"/>
          <w:color w:val="000000" w:themeColor="text1"/>
          <w:sz w:val="28"/>
          <w:szCs w:val="28"/>
          <w:highlight w:val="none"/>
          <w14:textFill>
            <w14:solidFill>
              <w14:schemeClr w14:val="tx1"/>
            </w14:solidFill>
          </w14:textFill>
        </w:rPr>
      </w:pPr>
    </w:p>
    <w:p>
      <w:pPr>
        <w:rPr>
          <w:rFonts w:ascii="仿宋" w:hAnsi="仿宋" w:eastAsia="仿宋" w:cs="仿宋"/>
          <w:color w:val="000000" w:themeColor="text1"/>
          <w:sz w:val="28"/>
          <w:szCs w:val="28"/>
          <w:highlight w:val="none"/>
          <w14:textFill>
            <w14:solidFill>
              <w14:schemeClr w14:val="tx1"/>
            </w14:solidFill>
          </w14:textFill>
        </w:rPr>
      </w:pPr>
    </w:p>
    <w:p>
      <w:pPr>
        <w:rPr>
          <w:rFonts w:ascii="仿宋" w:hAnsi="仿宋" w:eastAsia="仿宋" w:cs="仿宋"/>
          <w:color w:val="000000" w:themeColor="text1"/>
          <w:sz w:val="28"/>
          <w:szCs w:val="28"/>
          <w:highlight w:val="none"/>
          <w14:textFill>
            <w14:solidFill>
              <w14:schemeClr w14:val="tx1"/>
            </w14:solidFill>
          </w14:textFill>
        </w:rPr>
      </w:pPr>
    </w:p>
    <w:p>
      <w:pPr>
        <w:spacing w:line="800" w:lineRule="exact"/>
        <w:rPr>
          <w:rFonts w:ascii="仿宋" w:hAnsi="仿宋" w:eastAsia="仿宋" w:cs="仿宋"/>
          <w:b/>
          <w:color w:val="000000" w:themeColor="text1"/>
          <w:sz w:val="28"/>
          <w:szCs w:val="28"/>
          <w:highlight w:val="none"/>
          <w:u w:val="singl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项目名称</w:t>
      </w:r>
    </w:p>
    <w:p>
      <w:pPr>
        <w:spacing w:line="800" w:lineRule="exact"/>
        <w:rPr>
          <w:rFonts w:ascii="仿宋" w:hAnsi="仿宋" w:eastAsia="仿宋" w:cs="仿宋"/>
          <w:b/>
          <w:color w:val="000000" w:themeColor="text1"/>
          <w:sz w:val="28"/>
          <w:szCs w:val="28"/>
          <w:highlight w:val="none"/>
          <w:u w:val="singl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项目编号</w:t>
      </w:r>
    </w:p>
    <w:p>
      <w:pPr>
        <w:spacing w:line="800" w:lineRule="exact"/>
        <w:rPr>
          <w:rFonts w:ascii="仿宋" w:hAnsi="仿宋" w:eastAsia="仿宋" w:cs="仿宋"/>
          <w:b/>
          <w:color w:val="000000" w:themeColor="text1"/>
          <w:sz w:val="28"/>
          <w:szCs w:val="28"/>
          <w:highlight w:val="none"/>
          <w:u w:val="singl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投标商名称</w:t>
      </w:r>
    </w:p>
    <w:p>
      <w:pPr>
        <w:spacing w:line="800" w:lineRule="exact"/>
        <w:rPr>
          <w:rFonts w:ascii="仿宋" w:hAnsi="仿宋" w:eastAsia="仿宋" w:cs="仿宋"/>
          <w:b/>
          <w:color w:val="000000" w:themeColor="text1"/>
          <w:sz w:val="28"/>
          <w:szCs w:val="28"/>
          <w:highlight w:val="none"/>
          <w:u w:val="singl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授权委托人姓名</w:t>
      </w:r>
    </w:p>
    <w:p>
      <w:pPr>
        <w:spacing w:line="800" w:lineRule="exact"/>
        <w:rPr>
          <w:rFonts w:ascii="仿宋" w:hAnsi="仿宋" w:eastAsia="仿宋" w:cs="仿宋"/>
          <w:b/>
          <w:color w:val="000000" w:themeColor="text1"/>
          <w:sz w:val="28"/>
          <w:szCs w:val="28"/>
          <w:highlight w:val="none"/>
          <w:u w:val="singl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授权委托人联系电话</w:t>
      </w:r>
      <w:r>
        <w:rPr>
          <w:rFonts w:hint="eastAsia" w:ascii="仿宋" w:hAnsi="仿宋" w:eastAsia="仿宋" w:cs="仿宋"/>
          <w:b/>
          <w:color w:val="000000" w:themeColor="text1"/>
          <w:sz w:val="28"/>
          <w:szCs w:val="28"/>
          <w:highlight w:val="none"/>
          <w:u w:val="single"/>
          <w14:textFill>
            <w14:solidFill>
              <w14:schemeClr w14:val="tx1"/>
            </w14:solidFill>
          </w14:textFill>
        </w:rPr>
        <w:t>（含固定电话和手机）</w:t>
      </w:r>
    </w:p>
    <w:p>
      <w:pPr>
        <w:spacing w:line="800" w:lineRule="exact"/>
        <w:rPr>
          <w:rFonts w:ascii="仿宋" w:hAnsi="仿宋" w:eastAsia="仿宋" w:cs="仿宋"/>
          <w:b/>
          <w:color w:val="000000" w:themeColor="text1"/>
          <w:sz w:val="28"/>
          <w:szCs w:val="28"/>
          <w:highlight w:val="none"/>
          <w:u w:val="singl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投标商传真</w:t>
      </w:r>
    </w:p>
    <w:p>
      <w:pPr>
        <w:spacing w:line="800" w:lineRule="exact"/>
        <w:rPr>
          <w:rFonts w:ascii="仿宋" w:hAnsi="仿宋" w:eastAsia="仿宋" w:cs="仿宋"/>
          <w:b/>
          <w:color w:val="000000" w:themeColor="text1"/>
          <w:sz w:val="28"/>
          <w:szCs w:val="28"/>
          <w:highlight w:val="none"/>
          <w:u w:val="singl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投标商地址</w:t>
      </w:r>
    </w:p>
    <w:p>
      <w:pPr>
        <w:spacing w:line="800" w:lineRule="exact"/>
        <w:rPr>
          <w:rFonts w:ascii="仿宋" w:hAnsi="仿宋" w:eastAsia="仿宋" w:cs="仿宋"/>
          <w:b/>
          <w:color w:val="000000" w:themeColor="text1"/>
          <w:sz w:val="28"/>
          <w:szCs w:val="28"/>
          <w:highlight w:val="none"/>
          <w:u w:val="singl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投标商电子邮箱</w:t>
      </w:r>
    </w:p>
    <w:p>
      <w:pPr>
        <w:spacing w:line="800" w:lineRule="exact"/>
        <w:rPr>
          <w:rFonts w:ascii="仿宋" w:hAnsi="仿宋" w:eastAsia="仿宋" w:cs="仿宋"/>
          <w:b/>
          <w:color w:val="000000" w:themeColor="text1"/>
          <w:sz w:val="28"/>
          <w:szCs w:val="28"/>
          <w:highlight w:val="none"/>
          <w:u w:val="singl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投标商邮编</w:t>
      </w:r>
    </w:p>
    <w:p>
      <w:pPr>
        <w:spacing w:line="800" w:lineRule="exact"/>
        <w:rPr>
          <w:rFonts w:ascii="仿宋" w:hAnsi="仿宋" w:eastAsia="仿宋" w:cs="仿宋"/>
          <w:b/>
          <w:color w:val="000000" w:themeColor="text1"/>
          <w:sz w:val="28"/>
          <w:szCs w:val="28"/>
          <w:highlight w:val="none"/>
          <w:u w:val="singl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投标时间</w:t>
      </w:r>
    </w:p>
    <w:p>
      <w:pPr>
        <w:rPr>
          <w:rFonts w:ascii="仿宋" w:hAnsi="仿宋" w:eastAsia="仿宋" w:cs="仿宋"/>
          <w:color w:val="000000" w:themeColor="text1"/>
          <w:sz w:val="28"/>
          <w:szCs w:val="28"/>
          <w:highlight w:val="none"/>
          <w14:textFill>
            <w14:solidFill>
              <w14:schemeClr w14:val="tx1"/>
            </w14:solidFill>
          </w14:textFill>
        </w:rPr>
      </w:pPr>
    </w:p>
    <w:p>
      <w:pPr>
        <w:rPr>
          <w:rFonts w:ascii="仿宋" w:hAnsi="仿宋" w:eastAsia="仿宋" w:cs="仿宋"/>
          <w:color w:val="000000" w:themeColor="text1"/>
          <w:sz w:val="28"/>
          <w:szCs w:val="28"/>
          <w:highlight w:val="none"/>
          <w14:textFill>
            <w14:solidFill>
              <w14:schemeClr w14:val="tx1"/>
            </w14:solidFill>
          </w14:textFill>
        </w:rPr>
      </w:pPr>
    </w:p>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br w:type="page"/>
      </w:r>
      <w:r>
        <w:rPr>
          <w:rFonts w:hint="eastAsia" w:ascii="仿宋" w:hAnsi="仿宋" w:eastAsia="仿宋" w:cs="仿宋"/>
          <w:bCs/>
          <w:color w:val="000000" w:themeColor="text1"/>
          <w:sz w:val="28"/>
          <w:szCs w:val="28"/>
          <w:highlight w:val="none"/>
          <w14:textFill>
            <w14:solidFill>
              <w14:schemeClr w14:val="tx1"/>
            </w14:solidFill>
          </w14:textFill>
        </w:rPr>
        <w:t>二、投标函</w:t>
      </w:r>
    </w:p>
    <w:p>
      <w:pPr>
        <w:spacing w:line="46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XXXXXX：</w:t>
      </w:r>
    </w:p>
    <w:p>
      <w:pPr>
        <w:spacing w:line="460" w:lineRule="exact"/>
        <w:ind w:left="1" w:firstLine="658" w:firstLineChars="235"/>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我方经仔细阅读研究项目招标文件（项目编号），已完全了解该文件中的所有条款及要求，决定参加投标，同时作出如下承诺：</w:t>
      </w:r>
    </w:p>
    <w:p>
      <w:pPr>
        <w:spacing w:line="46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1．我方与本项目及该项目相关人员之间均不存在可能影响招标公正性的任何利害关系。</w:t>
      </w:r>
    </w:p>
    <w:p>
      <w:pPr>
        <w:spacing w:line="46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2．我方愿按招标文件的要求提供货物和服务，投标货物及服务的投标总价为：（大写），（小写）。该报价包含所有一切费用。</w:t>
      </w:r>
    </w:p>
    <w:p>
      <w:pPr>
        <w:spacing w:line="46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3．我方接受招标文件的所有条款、条件和</w:t>
      </w:r>
      <w:r>
        <w:rPr>
          <w:rFonts w:hint="eastAsia" w:ascii="仿宋" w:hAnsi="仿宋" w:eastAsia="仿宋" w:cs="仿宋"/>
          <w:bCs/>
          <w:color w:val="000000" w:themeColor="text1"/>
          <w:sz w:val="28"/>
          <w:szCs w:val="28"/>
          <w:highlight w:val="none"/>
          <w14:textFill>
            <w14:solidFill>
              <w14:schemeClr w14:val="tx1"/>
            </w14:solidFill>
          </w14:textFill>
        </w:rPr>
        <w:t>规定</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bCs/>
          <w:color w:val="000000" w:themeColor="text1"/>
          <w:sz w:val="28"/>
          <w:szCs w:val="28"/>
          <w:highlight w:val="none"/>
          <w14:textFill>
            <w14:solidFill>
              <w14:schemeClr w14:val="tx1"/>
            </w14:solidFill>
          </w14:textFill>
        </w:rPr>
        <w:t>放弃对招标文件提出质疑的权利。</w:t>
      </w:r>
    </w:p>
    <w:p>
      <w:pPr>
        <w:spacing w:line="46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4．我方同意按照招标文件的要求提供所有资料、数据或信息，并保证</w:t>
      </w:r>
      <w:r>
        <w:rPr>
          <w:rFonts w:hint="eastAsia" w:ascii="仿宋" w:hAnsi="仿宋" w:eastAsia="仿宋" w:cs="仿宋"/>
          <w:color w:val="000000" w:themeColor="text1"/>
          <w:kern w:val="0"/>
          <w:sz w:val="28"/>
          <w:szCs w:val="28"/>
          <w:highlight w:val="none"/>
          <w14:textFill>
            <w14:solidFill>
              <w14:schemeClr w14:val="tx1"/>
            </w14:solidFill>
          </w14:textFill>
        </w:rPr>
        <w:t>所提供资料的真实性和投标行为的合法性。如有作假或违纪，同意接受“取消投标资格、取消中标资格、没收履约保证金、2年内禁止参加</w:t>
      </w:r>
      <w:r>
        <w:rPr>
          <w:rFonts w:hint="eastAsia" w:ascii="仿宋" w:hAnsi="仿宋" w:eastAsia="仿宋" w:cs="仿宋"/>
          <w:color w:val="000000" w:themeColor="text1"/>
          <w:sz w:val="28"/>
          <w:szCs w:val="28"/>
          <w:highlight w:val="none"/>
          <w14:textFill>
            <w14:solidFill>
              <w14:schemeClr w14:val="tx1"/>
            </w14:solidFill>
          </w14:textFill>
        </w:rPr>
        <w:t>XXXXXX</w:t>
      </w:r>
      <w:r>
        <w:rPr>
          <w:rFonts w:hint="eastAsia" w:ascii="仿宋" w:hAnsi="仿宋" w:eastAsia="仿宋" w:cs="仿宋"/>
          <w:color w:val="000000" w:themeColor="text1"/>
          <w:kern w:val="0"/>
          <w:sz w:val="28"/>
          <w:szCs w:val="28"/>
          <w:highlight w:val="none"/>
          <w14:textFill>
            <w14:solidFill>
              <w14:schemeClr w14:val="tx1"/>
            </w14:solidFill>
          </w14:textFill>
        </w:rPr>
        <w:t>的采购活动”等处罚。</w:t>
      </w:r>
    </w:p>
    <w:p>
      <w:pPr>
        <w:spacing w:line="46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5．我方</w:t>
      </w:r>
      <w:r>
        <w:rPr>
          <w:rFonts w:hint="eastAsia" w:ascii="仿宋" w:hAnsi="仿宋" w:eastAsia="仿宋" w:cs="仿宋"/>
          <w:bCs/>
          <w:color w:val="000000" w:themeColor="text1"/>
          <w:sz w:val="28"/>
          <w:szCs w:val="28"/>
          <w:highlight w:val="none"/>
          <w14:textFill>
            <w14:solidFill>
              <w14:schemeClr w14:val="tx1"/>
            </w14:solidFill>
          </w14:textFill>
        </w:rPr>
        <w:t>认可</w:t>
      </w:r>
      <w:r>
        <w:rPr>
          <w:rFonts w:hint="eastAsia" w:ascii="仿宋" w:hAnsi="仿宋" w:eastAsia="仿宋" w:cs="仿宋"/>
          <w:color w:val="000000" w:themeColor="text1"/>
          <w:sz w:val="28"/>
          <w:szCs w:val="28"/>
          <w:highlight w:val="none"/>
          <w14:textFill>
            <w14:solidFill>
              <w14:schemeClr w14:val="tx1"/>
            </w14:solidFill>
          </w14:textFill>
        </w:rPr>
        <w:t>贵方有权决定中标人或否决所有投标，并理解最低报价只是中标的重要条件，贵方没有义务必须接受最低报价的投标。</w:t>
      </w:r>
    </w:p>
    <w:p>
      <w:pPr>
        <w:spacing w:line="46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6．我方如中标，将保证遵守招标文件对投标人的所有要求和规定，履行自己在投标文件中承诺的全部责任和义务。</w:t>
      </w:r>
    </w:p>
    <w:p>
      <w:pPr>
        <w:spacing w:line="46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7．本投标文件的有效期为投标截止日后90天内，如我方中标，有效期将延至合同有效期终止日为止。</w:t>
      </w:r>
    </w:p>
    <w:p>
      <w:pPr>
        <w:spacing w:line="46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8．与本次招投标有关的事宜请按以下信息联系：</w:t>
      </w:r>
    </w:p>
    <w:p>
      <w:pPr>
        <w:spacing w:line="46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投标人名称：（公章）</w:t>
      </w:r>
    </w:p>
    <w:p>
      <w:pPr>
        <w:spacing w:line="46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地址：邮政编码：</w:t>
      </w:r>
    </w:p>
    <w:p>
      <w:pPr>
        <w:spacing w:line="460" w:lineRule="exact"/>
        <w:ind w:firstLine="560" w:firstLineChars="200"/>
        <w:rPr>
          <w:rFonts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电话：传真：</w:t>
      </w:r>
    </w:p>
    <w:p>
      <w:pPr>
        <w:spacing w:line="460" w:lineRule="exact"/>
        <w:ind w:left="479" w:leftChars="228"/>
        <w:rPr>
          <w:rFonts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授权委托人（签名）：电话（手机）</w:t>
      </w:r>
    </w:p>
    <w:p>
      <w:pPr>
        <w:spacing w:line="460" w:lineRule="exact"/>
        <w:ind w:left="479" w:leftChars="228"/>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联系电子邮箱：</w:t>
      </w:r>
    </w:p>
    <w:p>
      <w:pPr>
        <w:spacing w:line="460" w:lineRule="exact"/>
        <w:ind w:firstLine="560" w:firstLineChars="200"/>
        <w:rPr>
          <w:rFonts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投标日期：</w:t>
      </w:r>
      <w:bookmarkStart w:id="7" w:name="OLE_LINK2"/>
      <w:bookmarkStart w:id="8" w:name="OLE_LINK1"/>
    </w:p>
    <w:p>
      <w:pPr>
        <w:widowControl/>
        <w:jc w:val="left"/>
        <w:rPr>
          <w:rFonts w:ascii="仿宋" w:hAnsi="仿宋" w:eastAsia="仿宋" w:cs="仿宋"/>
          <w:bCs/>
          <w:color w:val="000000" w:themeColor="text1"/>
          <w:sz w:val="28"/>
          <w:szCs w:val="28"/>
          <w:highlight w:val="none"/>
          <w14:textFill>
            <w14:solidFill>
              <w14:schemeClr w14:val="tx1"/>
            </w14:solidFill>
          </w14:textFill>
        </w:rPr>
      </w:pPr>
    </w:p>
    <w:bookmarkEnd w:id="7"/>
    <w:bookmarkEnd w:id="8"/>
    <w:p>
      <w:pPr>
        <w:snapToGrid w:val="0"/>
        <w:spacing w:line="360" w:lineRule="auto"/>
        <w:ind w:right="-351" w:rightChars="-167"/>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br w:type="page"/>
      </w:r>
      <w:r>
        <w:rPr>
          <w:rFonts w:hint="eastAsia" w:ascii="仿宋" w:hAnsi="仿宋" w:eastAsia="仿宋" w:cs="仿宋"/>
          <w:bCs/>
          <w:color w:val="000000" w:themeColor="text1"/>
          <w:sz w:val="28"/>
          <w:szCs w:val="28"/>
          <w:highlight w:val="none"/>
          <w14:textFill>
            <w14:solidFill>
              <w14:schemeClr w14:val="tx1"/>
            </w14:solidFill>
          </w14:textFill>
        </w:rPr>
        <w:t>三、法定代表人资格证明</w:t>
      </w:r>
    </w:p>
    <w:p>
      <w:pPr>
        <w:spacing w:line="44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致XXXXXX：</w:t>
      </w:r>
    </w:p>
    <w:p>
      <w:pPr>
        <w:spacing w:line="440" w:lineRule="exact"/>
        <w:rPr>
          <w:rFonts w:ascii="仿宋" w:hAnsi="仿宋" w:eastAsia="仿宋" w:cs="仿宋"/>
          <w:color w:val="000000" w:themeColor="text1"/>
          <w:sz w:val="28"/>
          <w:szCs w:val="28"/>
          <w:highlight w:val="none"/>
          <w14:textFill>
            <w14:solidFill>
              <w14:schemeClr w14:val="tx1"/>
            </w14:solidFill>
          </w14:textFill>
        </w:rPr>
      </w:pP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单位名称：</w:t>
      </w:r>
    </w:p>
    <w:p>
      <w:pPr>
        <w:spacing w:line="44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地址：</w:t>
      </w:r>
    </w:p>
    <w:p>
      <w:pPr>
        <w:widowControl/>
        <w:snapToGrid w:val="0"/>
        <w:spacing w:line="560" w:lineRule="exact"/>
        <w:ind w:left="359" w:leftChars="171" w:firstLine="140" w:firstLineChars="50"/>
        <w:jc w:val="left"/>
        <w:rPr>
          <w:rFonts w:ascii="仿宋" w:hAnsi="仿宋" w:eastAsia="仿宋" w:cs="仿宋"/>
          <w:color w:val="000000" w:themeColor="text1"/>
          <w:kern w:val="0"/>
          <w:sz w:val="28"/>
          <w:szCs w:val="28"/>
          <w:highlight w:val="none"/>
          <w:u w:val="singl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姓名：性别：职务：</w:t>
      </w:r>
    </w:p>
    <w:p>
      <w:pPr>
        <w:widowControl/>
        <w:snapToGrid w:val="0"/>
        <w:spacing w:line="560" w:lineRule="exact"/>
        <w:ind w:firstLine="560" w:firstLineChars="200"/>
        <w:jc w:val="left"/>
        <w:rPr>
          <w:rFonts w:ascii="仿宋" w:hAnsi="仿宋" w:eastAsia="仿宋" w:cs="仿宋"/>
          <w:color w:val="000000" w:themeColor="text1"/>
          <w:kern w:val="0"/>
          <w:sz w:val="28"/>
          <w:szCs w:val="28"/>
          <w:highlight w:val="none"/>
          <w:u w:val="singl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系</w:t>
      </w:r>
      <w:r>
        <w:rPr>
          <w:rFonts w:hint="eastAsia" w:ascii="仿宋" w:hAnsi="仿宋" w:eastAsia="仿宋" w:cs="仿宋"/>
          <w:color w:val="000000" w:themeColor="text1"/>
          <w:kern w:val="0"/>
          <w:sz w:val="28"/>
          <w:szCs w:val="28"/>
          <w:highlight w:val="none"/>
          <w:u w:val="single"/>
          <w14:textFill>
            <w14:solidFill>
              <w14:schemeClr w14:val="tx1"/>
            </w14:solidFill>
          </w14:textFill>
        </w:rPr>
        <w:t>（投标人单位名称）</w:t>
      </w:r>
      <w:r>
        <w:rPr>
          <w:rFonts w:hint="eastAsia" w:ascii="仿宋" w:hAnsi="仿宋" w:eastAsia="仿宋" w:cs="仿宋"/>
          <w:color w:val="000000" w:themeColor="text1"/>
          <w:kern w:val="0"/>
          <w:sz w:val="28"/>
          <w:szCs w:val="28"/>
          <w:highlight w:val="none"/>
          <w14:textFill>
            <w14:solidFill>
              <w14:schemeClr w14:val="tx1"/>
            </w14:solidFill>
          </w14:textFill>
        </w:rPr>
        <w:t>的法定代表人，</w:t>
      </w:r>
      <w:r>
        <w:rPr>
          <w:rFonts w:hint="eastAsia" w:ascii="仿宋" w:hAnsi="仿宋" w:eastAsia="仿宋" w:cs="仿宋"/>
          <w:color w:val="000000" w:themeColor="text1"/>
          <w:sz w:val="28"/>
          <w:szCs w:val="28"/>
          <w:highlight w:val="none"/>
          <w14:textFill>
            <w14:solidFill>
              <w14:schemeClr w14:val="tx1"/>
            </w14:solidFill>
          </w14:textFill>
        </w:rPr>
        <w:t>以本公司名义</w:t>
      </w:r>
      <w:r>
        <w:rPr>
          <w:rFonts w:hint="eastAsia" w:ascii="仿宋" w:hAnsi="仿宋" w:eastAsia="仿宋" w:cs="仿宋"/>
          <w:color w:val="000000" w:themeColor="text1"/>
          <w:kern w:val="0"/>
          <w:sz w:val="28"/>
          <w:szCs w:val="28"/>
          <w:highlight w:val="none"/>
          <w14:textFill>
            <w14:solidFill>
              <w14:schemeClr w14:val="tx1"/>
            </w14:solidFill>
          </w14:textFill>
        </w:rPr>
        <w:t>参加</w:t>
      </w:r>
      <w:r>
        <w:rPr>
          <w:rFonts w:hint="eastAsia" w:ascii="仿宋" w:hAnsi="仿宋" w:eastAsia="仿宋" w:cs="仿宋"/>
          <w:color w:val="000000" w:themeColor="text1"/>
          <w:sz w:val="28"/>
          <w:szCs w:val="28"/>
          <w:highlight w:val="none"/>
          <w14:textFill>
            <w14:solidFill>
              <w14:schemeClr w14:val="tx1"/>
            </w14:solidFill>
          </w14:textFill>
        </w:rPr>
        <w:t>XXXXXX</w:t>
      </w:r>
      <w:r>
        <w:rPr>
          <w:rFonts w:hint="eastAsia" w:ascii="仿宋" w:hAnsi="仿宋" w:eastAsia="仿宋" w:cs="仿宋"/>
          <w:color w:val="000000" w:themeColor="text1"/>
          <w:kern w:val="0"/>
          <w:sz w:val="28"/>
          <w:szCs w:val="28"/>
          <w:highlight w:val="none"/>
          <w:u w:val="single"/>
          <w14:textFill>
            <w14:solidFill>
              <w14:schemeClr w14:val="tx1"/>
            </w14:solidFill>
          </w14:textFill>
        </w:rPr>
        <w:t>（项目名称）</w:t>
      </w:r>
      <w:r>
        <w:rPr>
          <w:rFonts w:hint="eastAsia" w:ascii="仿宋" w:hAnsi="仿宋" w:eastAsia="仿宋" w:cs="仿宋"/>
          <w:color w:val="000000" w:themeColor="text1"/>
          <w:kern w:val="0"/>
          <w:sz w:val="28"/>
          <w:szCs w:val="28"/>
          <w:highlight w:val="none"/>
          <w14:textFill>
            <w14:solidFill>
              <w14:schemeClr w14:val="tx1"/>
            </w14:solidFill>
          </w14:textFill>
        </w:rPr>
        <w:t>（项目编号：）投标活动，代表本公司签署投标文件、进行招标、进行合同谈判、签订合同和处理与之有关的一切事务。</w:t>
      </w:r>
    </w:p>
    <w:p>
      <w:pPr>
        <w:widowControl/>
        <w:snapToGrid w:val="0"/>
        <w:spacing w:line="560" w:lineRule="exact"/>
        <w:ind w:firstLine="600"/>
        <w:jc w:val="left"/>
        <w:rPr>
          <w:rFonts w:ascii="仿宋" w:hAnsi="仿宋" w:eastAsia="仿宋" w:cs="仿宋"/>
          <w:color w:val="000000" w:themeColor="text1"/>
          <w:kern w:val="0"/>
          <w:sz w:val="28"/>
          <w:szCs w:val="28"/>
          <w:highlight w:val="none"/>
          <w14:textFill>
            <w14:solidFill>
              <w14:schemeClr w14:val="tx1"/>
            </w14:solidFill>
          </w14:textFill>
        </w:rPr>
      </w:pPr>
    </w:p>
    <w:p>
      <w:pPr>
        <w:widowControl/>
        <w:snapToGrid w:val="0"/>
        <w:spacing w:line="560" w:lineRule="exact"/>
        <w:ind w:firstLine="600"/>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特此证明。</w:t>
      </w:r>
    </w:p>
    <w:p>
      <w:pPr>
        <w:widowControl/>
        <w:snapToGrid w:val="0"/>
        <w:spacing w:line="560" w:lineRule="exact"/>
        <w:ind w:firstLine="600"/>
        <w:jc w:val="left"/>
        <w:rPr>
          <w:rFonts w:ascii="仿宋" w:hAnsi="仿宋" w:eastAsia="仿宋" w:cs="仿宋"/>
          <w:color w:val="000000" w:themeColor="text1"/>
          <w:kern w:val="0"/>
          <w:sz w:val="28"/>
          <w:szCs w:val="28"/>
          <w:highlight w:val="none"/>
          <w14:textFill>
            <w14:solidFill>
              <w14:schemeClr w14:val="tx1"/>
            </w14:solidFill>
          </w14:textFill>
        </w:rPr>
      </w:pPr>
    </w:p>
    <w:p>
      <w:pPr>
        <w:widowControl/>
        <w:snapToGrid w:val="0"/>
        <w:spacing w:line="560" w:lineRule="exact"/>
        <w:ind w:firstLine="3360" w:firstLineChars="1200"/>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投标人名称：</w:t>
      </w:r>
      <w:r>
        <w:rPr>
          <w:rFonts w:hint="eastAsia" w:ascii="仿宋" w:hAnsi="仿宋" w:eastAsia="仿宋" w:cs="仿宋"/>
          <w:color w:val="000000" w:themeColor="text1"/>
          <w:kern w:val="0"/>
          <w:sz w:val="28"/>
          <w:szCs w:val="28"/>
          <w:highlight w:val="none"/>
          <w:u w:val="single"/>
          <w14:textFill>
            <w14:solidFill>
              <w14:schemeClr w14:val="tx1"/>
            </w14:solidFill>
          </w14:textFill>
        </w:rPr>
        <w:t>（公章）</w:t>
      </w:r>
    </w:p>
    <w:p>
      <w:pPr>
        <w:widowControl/>
        <w:snapToGrid w:val="0"/>
        <w:spacing w:line="560" w:lineRule="exact"/>
        <w:ind w:firstLine="3393" w:firstLineChars="1212"/>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日期：年月日</w:t>
      </w:r>
    </w:p>
    <w:p>
      <w:pPr>
        <w:spacing w:line="560" w:lineRule="exact"/>
        <w:ind w:right="-351" w:rightChars="-167"/>
        <w:rPr>
          <w:rFonts w:ascii="仿宋" w:hAnsi="仿宋" w:eastAsia="仿宋" w:cs="仿宋"/>
          <w:color w:val="000000" w:themeColor="text1"/>
          <w:sz w:val="28"/>
          <w:szCs w:val="28"/>
          <w:highlight w:val="none"/>
          <w14:textFill>
            <w14:solidFill>
              <w14:schemeClr w14:val="tx1"/>
            </w14:solidFill>
          </w14:textFill>
        </w:rPr>
      </w:pPr>
    </w:p>
    <w:p>
      <w:pPr>
        <w:spacing w:line="500" w:lineRule="exact"/>
        <w:ind w:right="32"/>
        <w:jc w:val="center"/>
        <w:rPr>
          <w:rFonts w:ascii="仿宋" w:hAnsi="仿宋" w:eastAsia="仿宋" w:cs="仿宋"/>
          <w:b/>
          <w:bCs/>
          <w:color w:val="000000" w:themeColor="text1"/>
          <w:sz w:val="28"/>
          <w:szCs w:val="28"/>
          <w:highlight w:val="none"/>
          <w14:textFill>
            <w14:solidFill>
              <w14:schemeClr w14:val="tx1"/>
            </w14:solidFill>
          </w14:textFill>
        </w:rPr>
      </w:pPr>
    </w:p>
    <w:p>
      <w:pPr>
        <w:spacing w:line="500" w:lineRule="exact"/>
        <w:ind w:right="32"/>
        <w:jc w:val="center"/>
        <w:rPr>
          <w:rFonts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1314450</wp:posOffset>
                </wp:positionH>
                <wp:positionV relativeFrom="paragraph">
                  <wp:posOffset>89535</wp:posOffset>
                </wp:positionV>
                <wp:extent cx="3314700" cy="1882140"/>
                <wp:effectExtent l="4445" t="4445" r="14605" b="1841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314700" cy="1882140"/>
                        </a:xfrm>
                        <a:prstGeom prst="rect">
                          <a:avLst/>
                        </a:prstGeom>
                        <a:solidFill>
                          <a:srgbClr val="FFFFFF"/>
                        </a:solidFill>
                        <a:ln w="9525">
                          <a:solidFill>
                            <a:srgbClr val="000000"/>
                          </a:solidFill>
                          <a:miter lim="800000"/>
                        </a:ln>
                        <a:effectLst/>
                      </wps:spPr>
                      <wps:txbx>
                        <w:txbxContent>
                          <w:p/>
                          <w:p/>
                          <w:p/>
                          <w:p/>
                          <w:p>
                            <w:pPr>
                              <w:jc w:val="center"/>
                            </w:pPr>
                            <w:r>
                              <w:rPr>
                                <w:rFonts w:hint="eastAsia"/>
                                <w:sz w:val="24"/>
                              </w:rPr>
                              <w:t>法人身份证复印件粘贴处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3.5pt;margin-top:7.05pt;height:148.2pt;width:261pt;z-index:251659264;mso-width-relative:page;mso-height-relative:page;" fillcolor="#FFFFFF" filled="t" stroked="t" coordsize="21600,21600" o:gfxdata="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gyk3iNkAAAAKAQAADwAAAAAAAAAB&#10;ACAAAAAiAAAAZHJzL2Rvd25yZXYueG1sUEsBAhQAFAAAAAgAh07iQCDVtqxIAgAAlgQAAA4AAAAA&#10;AAAAAQAgAAAAKAEAAGRycy9lMm9Eb2MueG1sUEsFBgAAAAAGAAYAWQEAAOIFAAAAAA==&#10;">
                <v:fill on="t" focussize="0,0"/>
                <v:stroke color="#000000" miterlimit="8" joinstyle="miter"/>
                <v:imagedata o:title=""/>
                <o:lock v:ext="edit" aspectratio="f"/>
                <v:textbox>
                  <w:txbxContent>
                    <w:p/>
                    <w:p/>
                    <w:p/>
                    <w:p/>
                    <w:p>
                      <w:pPr>
                        <w:jc w:val="center"/>
                      </w:pPr>
                      <w:r>
                        <w:rPr>
                          <w:rFonts w:hint="eastAsia"/>
                          <w:sz w:val="24"/>
                        </w:rPr>
                        <w:t>法人身份证复印件粘贴处</w:t>
                      </w:r>
                    </w:p>
                  </w:txbxContent>
                </v:textbox>
              </v:shape>
            </w:pict>
          </mc:Fallback>
        </mc:AlternateContent>
      </w:r>
    </w:p>
    <w:p>
      <w:pPr>
        <w:spacing w:line="500" w:lineRule="exact"/>
        <w:ind w:right="32"/>
        <w:jc w:val="center"/>
        <w:rPr>
          <w:rFonts w:ascii="仿宋" w:hAnsi="仿宋" w:eastAsia="仿宋" w:cs="仿宋"/>
          <w:b/>
          <w:bCs/>
          <w:color w:val="000000" w:themeColor="text1"/>
          <w:sz w:val="28"/>
          <w:szCs w:val="28"/>
          <w:highlight w:val="none"/>
          <w14:textFill>
            <w14:solidFill>
              <w14:schemeClr w14:val="tx1"/>
            </w14:solidFill>
          </w14:textFill>
        </w:rPr>
      </w:pPr>
    </w:p>
    <w:p>
      <w:pPr>
        <w:spacing w:line="500" w:lineRule="exact"/>
        <w:ind w:right="32"/>
        <w:jc w:val="center"/>
        <w:rPr>
          <w:rFonts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br w:type="page"/>
      </w:r>
      <w:r>
        <w:rPr>
          <w:rFonts w:hint="eastAsia" w:ascii="仿宋" w:hAnsi="仿宋" w:eastAsia="仿宋" w:cs="仿宋"/>
          <w:bCs/>
          <w:color w:val="000000" w:themeColor="text1"/>
          <w:sz w:val="28"/>
          <w:szCs w:val="28"/>
          <w:highlight w:val="none"/>
          <w14:textFill>
            <w14:solidFill>
              <w14:schemeClr w14:val="tx1"/>
            </w14:solidFill>
          </w14:textFill>
        </w:rPr>
        <w:t>四、法定代表人授权书</w:t>
      </w:r>
    </w:p>
    <w:p>
      <w:pPr>
        <w:spacing w:line="500" w:lineRule="exact"/>
        <w:ind w:right="32"/>
        <w:jc w:val="center"/>
        <w:rPr>
          <w:rFonts w:ascii="仿宋" w:hAnsi="仿宋" w:eastAsia="仿宋" w:cs="仿宋"/>
          <w:b/>
          <w:bCs/>
          <w:color w:val="000000" w:themeColor="text1"/>
          <w:sz w:val="28"/>
          <w:szCs w:val="28"/>
          <w:highlight w:val="none"/>
          <w14:textFill>
            <w14:solidFill>
              <w14:schemeClr w14:val="tx1"/>
            </w14:solidFill>
          </w14:textFill>
        </w:rPr>
      </w:pPr>
    </w:p>
    <w:p>
      <w:pPr>
        <w:spacing w:line="48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致XXXXXX：</w:t>
      </w:r>
    </w:p>
    <w:p>
      <w:pPr>
        <w:spacing w:line="480" w:lineRule="exact"/>
        <w:ind w:right="32"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委托方：</w:t>
      </w:r>
    </w:p>
    <w:p>
      <w:pPr>
        <w:spacing w:line="480" w:lineRule="exact"/>
        <w:ind w:right="32"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地址：</w:t>
      </w:r>
    </w:p>
    <w:p>
      <w:pPr>
        <w:spacing w:line="480" w:lineRule="exact"/>
        <w:ind w:right="34"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法定代表人姓名（签章）：</w:t>
      </w:r>
    </w:p>
    <w:p>
      <w:pPr>
        <w:spacing w:line="480" w:lineRule="exact"/>
        <w:ind w:right="34"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授权委托人姓名（签名）：性别：职务：</w:t>
      </w:r>
    </w:p>
    <w:p>
      <w:pPr>
        <w:spacing w:line="480" w:lineRule="exact"/>
        <w:ind w:right="34"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授权委托人身份证号码：</w:t>
      </w:r>
    </w:p>
    <w:p>
      <w:pPr>
        <w:spacing w:line="480" w:lineRule="exact"/>
        <w:ind w:right="34" w:firstLine="560" w:firstLineChars="200"/>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兹委托</w:t>
      </w:r>
      <w:r>
        <w:rPr>
          <w:rFonts w:hint="eastAsia" w:ascii="仿宋" w:hAnsi="仿宋" w:eastAsia="仿宋" w:cs="仿宋"/>
          <w:color w:val="000000" w:themeColor="text1"/>
          <w:sz w:val="28"/>
          <w:szCs w:val="28"/>
          <w:highlight w:val="none"/>
          <w14:textFill>
            <w14:solidFill>
              <w14:schemeClr w14:val="tx1"/>
            </w14:solidFill>
          </w14:textFill>
        </w:rPr>
        <w:t>代表我公司</w:t>
      </w:r>
      <w:r>
        <w:rPr>
          <w:rFonts w:hint="eastAsia" w:ascii="仿宋" w:hAnsi="仿宋" w:eastAsia="仿宋" w:cs="仿宋"/>
          <w:color w:val="000000" w:themeColor="text1"/>
          <w:kern w:val="0"/>
          <w:sz w:val="28"/>
          <w:szCs w:val="28"/>
          <w:highlight w:val="none"/>
          <w14:textFill>
            <w14:solidFill>
              <w14:schemeClr w14:val="tx1"/>
            </w14:solidFill>
          </w14:textFill>
        </w:rPr>
        <w:t>参加</w:t>
      </w:r>
      <w:r>
        <w:rPr>
          <w:rFonts w:hint="eastAsia" w:ascii="仿宋" w:hAnsi="仿宋" w:eastAsia="仿宋" w:cs="仿宋"/>
          <w:color w:val="000000" w:themeColor="text1"/>
          <w:sz w:val="28"/>
          <w:szCs w:val="28"/>
          <w:highlight w:val="none"/>
          <w14:textFill>
            <w14:solidFill>
              <w14:schemeClr w14:val="tx1"/>
            </w14:solidFill>
          </w14:textFill>
        </w:rPr>
        <w:t>XXXXXX</w:t>
      </w:r>
      <w:r>
        <w:rPr>
          <w:rFonts w:hint="eastAsia" w:ascii="仿宋" w:hAnsi="仿宋" w:eastAsia="仿宋" w:cs="仿宋"/>
          <w:color w:val="000000" w:themeColor="text1"/>
          <w:kern w:val="0"/>
          <w:sz w:val="28"/>
          <w:szCs w:val="28"/>
          <w:highlight w:val="none"/>
          <w:u w:val="single"/>
          <w14:textFill>
            <w14:solidFill>
              <w14:schemeClr w14:val="tx1"/>
            </w14:solidFill>
          </w14:textFill>
        </w:rPr>
        <w:t>（项目名称）</w:t>
      </w:r>
      <w:r>
        <w:rPr>
          <w:rFonts w:hint="eastAsia" w:ascii="仿宋" w:hAnsi="仿宋" w:eastAsia="仿宋" w:cs="仿宋"/>
          <w:color w:val="000000" w:themeColor="text1"/>
          <w:kern w:val="0"/>
          <w:sz w:val="28"/>
          <w:szCs w:val="28"/>
          <w:highlight w:val="none"/>
          <w14:textFill>
            <w14:solidFill>
              <w14:schemeClr w14:val="tx1"/>
            </w14:solidFill>
          </w14:textFill>
        </w:rPr>
        <w:t>（项目编号：）投标活动。该</w:t>
      </w:r>
      <w:r>
        <w:rPr>
          <w:rFonts w:hint="eastAsia" w:ascii="仿宋" w:hAnsi="仿宋" w:eastAsia="仿宋" w:cs="仿宋"/>
          <w:color w:val="000000" w:themeColor="text1"/>
          <w:sz w:val="28"/>
          <w:szCs w:val="28"/>
          <w:highlight w:val="none"/>
          <w14:textFill>
            <w14:solidFill>
              <w14:schemeClr w14:val="tx1"/>
            </w14:solidFill>
          </w14:textFill>
        </w:rPr>
        <w:t>授权委托人有权在该项招标活动中，</w:t>
      </w:r>
      <w:r>
        <w:rPr>
          <w:rFonts w:hint="eastAsia" w:ascii="仿宋" w:hAnsi="仿宋" w:eastAsia="仿宋" w:cs="仿宋"/>
          <w:color w:val="000000" w:themeColor="text1"/>
          <w:kern w:val="0"/>
          <w:sz w:val="28"/>
          <w:szCs w:val="28"/>
          <w:highlight w:val="none"/>
          <w14:textFill>
            <w14:solidFill>
              <w14:schemeClr w14:val="tx1"/>
            </w14:solidFill>
          </w14:textFill>
        </w:rPr>
        <w:t>代表我公司签署投标函和投标文件，与采购人协商、澄清、解释，进行合同谈判、签订合同，并处理与该项目有关的一切事务。</w:t>
      </w:r>
    </w:p>
    <w:p>
      <w:pPr>
        <w:spacing w:line="480" w:lineRule="exact"/>
        <w:ind w:right="34"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授权委托人在办理上述事宜过程中以自己名义所签署的所有文件，我公司均予以承认。授权委托人无转委托权。</w:t>
      </w:r>
    </w:p>
    <w:p>
      <w:pPr>
        <w:spacing w:line="480" w:lineRule="exact"/>
        <w:ind w:right="34"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授权期限：至上述事宜处理完毕止。</w:t>
      </w:r>
    </w:p>
    <w:p>
      <w:pPr>
        <w:spacing w:line="480" w:lineRule="exact"/>
        <w:ind w:right="34"/>
        <w:rPr>
          <w:rFonts w:ascii="仿宋" w:hAnsi="仿宋" w:eastAsia="仿宋" w:cs="仿宋"/>
          <w:color w:val="000000" w:themeColor="text1"/>
          <w:sz w:val="28"/>
          <w:szCs w:val="28"/>
          <w:highlight w:val="none"/>
          <w14:textFill>
            <w14:solidFill>
              <w14:schemeClr w14:val="tx1"/>
            </w14:solidFill>
          </w14:textFill>
        </w:rPr>
      </w:pPr>
    </w:p>
    <w:p>
      <w:pPr>
        <w:widowControl/>
        <w:snapToGrid w:val="0"/>
        <w:spacing w:line="560" w:lineRule="exact"/>
        <w:ind w:firstLine="3360" w:firstLineChars="1200"/>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委托人名称：</w:t>
      </w:r>
      <w:r>
        <w:rPr>
          <w:rFonts w:hint="eastAsia" w:ascii="仿宋" w:hAnsi="仿宋" w:eastAsia="仿宋" w:cs="仿宋"/>
          <w:color w:val="000000" w:themeColor="text1"/>
          <w:kern w:val="0"/>
          <w:sz w:val="28"/>
          <w:szCs w:val="28"/>
          <w:highlight w:val="none"/>
          <w:u w:val="single"/>
          <w14:textFill>
            <w14:solidFill>
              <w14:schemeClr w14:val="tx1"/>
            </w14:solidFill>
          </w14:textFill>
        </w:rPr>
        <w:t>（公章）</w:t>
      </w:r>
    </w:p>
    <w:p>
      <w:pPr>
        <w:widowControl/>
        <w:snapToGrid w:val="0"/>
        <w:spacing w:line="560" w:lineRule="exact"/>
        <w:ind w:firstLine="3393" w:firstLineChars="1212"/>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日期：年月日</w:t>
      </w:r>
    </w:p>
    <w:p>
      <w:pPr>
        <w:spacing w:line="360" w:lineRule="auto"/>
        <w:ind w:right="-351" w:rightChars="-167"/>
        <w:rPr>
          <w:rFonts w:ascii="仿宋" w:hAnsi="仿宋" w:eastAsia="仿宋" w:cs="仿宋"/>
          <w:color w:val="000000" w:themeColor="text1"/>
          <w:sz w:val="28"/>
          <w:szCs w:val="28"/>
          <w:highlight w:val="none"/>
          <w14:textFill>
            <w14:solidFill>
              <w14:schemeClr w14:val="tx1"/>
            </w14:solidFill>
          </w14:textFill>
        </w:rPr>
      </w:pPr>
    </w:p>
    <w:p>
      <w:pPr>
        <w:spacing w:line="360" w:lineRule="auto"/>
        <w:ind w:right="-351" w:rightChars="-167"/>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220345</wp:posOffset>
                </wp:positionV>
                <wp:extent cx="2857500" cy="1684020"/>
                <wp:effectExtent l="4445" t="5080" r="14605" b="63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57500" cy="1684020"/>
                        </a:xfrm>
                        <a:prstGeom prst="rect">
                          <a:avLst/>
                        </a:prstGeom>
                        <a:solidFill>
                          <a:srgbClr val="FFFFFF"/>
                        </a:solidFill>
                        <a:ln w="9525">
                          <a:solidFill>
                            <a:srgbClr val="000000"/>
                          </a:solidFill>
                          <a:miter lim="800000"/>
                        </a:ln>
                        <a:effectLst/>
                      </wps:spPr>
                      <wps:txbx>
                        <w:txbxContent>
                          <w:p/>
                          <w:p/>
                          <w:p/>
                          <w:p>
                            <w:pPr>
                              <w:jc w:val="center"/>
                            </w:pPr>
                            <w:r>
                              <w:rPr>
                                <w:rFonts w:hint="eastAsia"/>
                                <w:sz w:val="24"/>
                              </w:rPr>
                              <w:t>法人身份证复印件粘贴处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17.35pt;height:132.6pt;width:225pt;z-index:251660288;mso-width-relative:page;mso-height-relative:page;" fillcolor="#FFFFFF" filled="t" stroked="t" coordsize="21600,21600" o:gfxdata="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Ogul2PXAAAABwEAAA8AAAAAAAAA&#10;AQAgAAAAIgAAAGRycy9kb3ducmV2LnhtbFBLAQIUABQAAAAIAIdO4kDioGmuSwIAAJYEAAAOAAAA&#10;AAAAAAEAIAAAACYBAABkcnMvZTJvRG9jLnhtbFBLBQYAAAAABgAGAFkBAADjBQAAAAA=&#10;">
                <v:fill on="t" focussize="0,0"/>
                <v:stroke color="#000000" miterlimit="8" joinstyle="miter"/>
                <v:imagedata o:title=""/>
                <o:lock v:ext="edit" aspectratio="f"/>
                <v:textbox>
                  <w:txbxContent>
                    <w:p/>
                    <w:p/>
                    <w:p/>
                    <w:p>
                      <w:pPr>
                        <w:jc w:val="center"/>
                      </w:pPr>
                      <w:r>
                        <w:rPr>
                          <w:rFonts w:hint="eastAsia"/>
                          <w:sz w:val="24"/>
                        </w:rPr>
                        <w:t>法人身份证复印件粘贴处</w:t>
                      </w:r>
                    </w:p>
                  </w:txbxContent>
                </v:textbox>
              </v:shape>
            </w:pict>
          </mc:Fallback>
        </mc:AlternateContent>
      </w:r>
      <w:r>
        <w:rPr>
          <w:rFonts w:hint="eastAsia" w:ascii="仿宋" w:hAnsi="仿宋" w:eastAsia="仿宋" w:cs="仿宋"/>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3200400</wp:posOffset>
                </wp:positionH>
                <wp:positionV relativeFrom="paragraph">
                  <wp:posOffset>220345</wp:posOffset>
                </wp:positionV>
                <wp:extent cx="2790825" cy="1679575"/>
                <wp:effectExtent l="5080" t="4445" r="4445" b="1143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679575"/>
                        </a:xfrm>
                        <a:prstGeom prst="rect">
                          <a:avLst/>
                        </a:prstGeom>
                        <a:solidFill>
                          <a:srgbClr val="FFFFFF"/>
                        </a:solidFill>
                        <a:ln w="9525">
                          <a:solidFill>
                            <a:srgbClr val="000000"/>
                          </a:solidFill>
                          <a:miter lim="800000"/>
                        </a:ln>
                        <a:effectLst/>
                      </wps:spPr>
                      <wps:txbx>
                        <w:txbxContent>
                          <w:p/>
                          <w:p/>
                          <w:p/>
                          <w:p>
                            <w:pPr>
                              <w:jc w:val="center"/>
                            </w:pPr>
                            <w:r>
                              <w:rPr>
                                <w:rFonts w:hint="eastAsia"/>
                                <w:sz w:val="24"/>
                              </w:rPr>
                              <w:t>授权委托人身份证复印件粘贴处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52pt;margin-top:17.35pt;height:132.25pt;width:219.75pt;z-index:251660288;mso-width-relative:page;mso-height-relative:page;" fillcolor="#FFFFFF" filled="t" stroked="t" coordsize="21600,21600" o:gfxdata="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GRhbKbaAAAACgEAAA8AAAAAAAAA&#10;AQAgAAAAIgAAAGRycy9kb3ducmV2LnhtbFBLAQIUABQAAAAIAIdO4kCkLwYwSAIAAJYEAAAOAAAA&#10;AAAAAAEAIAAAACkBAABkcnMvZTJvRG9jLnhtbFBLBQYAAAAABgAGAFkBAADjBQAAAAA=&#10;">
                <v:fill on="t" focussize="0,0"/>
                <v:stroke color="#000000" miterlimit="8" joinstyle="miter"/>
                <v:imagedata o:title=""/>
                <o:lock v:ext="edit" aspectratio="f"/>
                <v:textbox>
                  <w:txbxContent>
                    <w:p/>
                    <w:p/>
                    <w:p/>
                    <w:p>
                      <w:pPr>
                        <w:jc w:val="center"/>
                      </w:pPr>
                      <w:r>
                        <w:rPr>
                          <w:rFonts w:hint="eastAsia"/>
                          <w:sz w:val="24"/>
                        </w:rPr>
                        <w:t>授权委托人身份证复印件粘贴处</w:t>
                      </w:r>
                    </w:p>
                  </w:txbxContent>
                </v:textbox>
              </v:shape>
            </w:pict>
          </mc:Fallback>
        </mc:AlternateContent>
      </w:r>
    </w:p>
    <w:p>
      <w:pPr>
        <w:spacing w:line="360" w:lineRule="auto"/>
        <w:ind w:right="-351" w:rightChars="-167"/>
        <w:rPr>
          <w:rFonts w:ascii="仿宋" w:hAnsi="仿宋" w:eastAsia="仿宋" w:cs="仿宋"/>
          <w:color w:val="000000" w:themeColor="text1"/>
          <w:sz w:val="28"/>
          <w:szCs w:val="28"/>
          <w:highlight w:val="none"/>
          <w14:textFill>
            <w14:solidFill>
              <w14:schemeClr w14:val="tx1"/>
            </w14:solidFill>
          </w14:textFill>
        </w:rPr>
      </w:pPr>
    </w:p>
    <w:p>
      <w:pPr>
        <w:spacing w:line="360" w:lineRule="auto"/>
        <w:ind w:right="-351" w:rightChars="-167"/>
        <w:rPr>
          <w:rFonts w:ascii="仿宋" w:hAnsi="仿宋" w:eastAsia="仿宋" w:cs="仿宋"/>
          <w:color w:val="000000" w:themeColor="text1"/>
          <w:sz w:val="28"/>
          <w:szCs w:val="28"/>
          <w:highlight w:val="none"/>
          <w14:textFill>
            <w14:solidFill>
              <w14:schemeClr w14:val="tx1"/>
            </w14:solidFill>
          </w14:textFill>
        </w:rPr>
      </w:pPr>
    </w:p>
    <w:p>
      <w:pPr>
        <w:spacing w:line="360" w:lineRule="auto"/>
        <w:ind w:right="-351" w:rightChars="-167"/>
        <w:rPr>
          <w:rFonts w:ascii="仿宋" w:hAnsi="仿宋" w:eastAsia="仿宋" w:cs="仿宋"/>
          <w:color w:val="000000" w:themeColor="text1"/>
          <w:sz w:val="28"/>
          <w:szCs w:val="28"/>
          <w:highlight w:val="none"/>
          <w14:textFill>
            <w14:solidFill>
              <w14:schemeClr w14:val="tx1"/>
            </w14:solidFill>
          </w14:textFill>
        </w:rPr>
      </w:pPr>
    </w:p>
    <w:p>
      <w:pPr>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br w:type="page"/>
      </w:r>
      <w:r>
        <w:rPr>
          <w:rFonts w:hint="eastAsia" w:ascii="仿宋" w:hAnsi="仿宋" w:eastAsia="仿宋" w:cs="仿宋"/>
          <w:color w:val="000000" w:themeColor="text1"/>
          <w:sz w:val="28"/>
          <w:szCs w:val="28"/>
          <w:highlight w:val="none"/>
          <w14:textFill>
            <w14:solidFill>
              <w14:schemeClr w14:val="tx1"/>
            </w14:solidFill>
          </w14:textFill>
        </w:rPr>
        <w:t>五、项目报价</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2645"/>
        <w:gridCol w:w="180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6" w:hRule="atLeast"/>
        </w:trPr>
        <w:tc>
          <w:tcPr>
            <w:tcW w:w="757"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1</w:t>
            </w:r>
          </w:p>
        </w:tc>
        <w:tc>
          <w:tcPr>
            <w:tcW w:w="2645" w:type="dxa"/>
            <w:vAlign w:val="center"/>
          </w:tcPr>
          <w:p>
            <w:pPr>
              <w:ind w:firstLine="420"/>
              <w:rPr>
                <w:rFonts w:ascii="仿宋" w:hAnsi="仿宋" w:eastAsia="仿宋" w:cs="仿宋"/>
                <w:kern w:val="0"/>
                <w:sz w:val="28"/>
                <w:szCs w:val="28"/>
                <w:highlight w:val="none"/>
              </w:rPr>
            </w:pPr>
            <w:r>
              <w:rPr>
                <w:rFonts w:hint="eastAsia" w:ascii="仿宋" w:hAnsi="仿宋" w:eastAsia="仿宋" w:cs="仿宋"/>
                <w:kern w:val="0"/>
                <w:sz w:val="28"/>
                <w:szCs w:val="28"/>
                <w:highlight w:val="none"/>
              </w:rPr>
              <w:t>项目名称</w:t>
            </w:r>
          </w:p>
        </w:tc>
        <w:tc>
          <w:tcPr>
            <w:tcW w:w="4077" w:type="dxa"/>
            <w:gridSpan w:val="2"/>
            <w:vAlign w:val="center"/>
          </w:tcPr>
          <w:p>
            <w:pPr>
              <w:jc w:val="center"/>
              <w:rPr>
                <w:rFonts w:ascii="仿宋" w:hAnsi="仿宋" w:eastAsia="仿宋" w:cs="仿宋"/>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57" w:type="dxa"/>
            <w:vAlign w:val="center"/>
          </w:tcPr>
          <w:p>
            <w:pPr>
              <w:jc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2</w:t>
            </w:r>
          </w:p>
        </w:tc>
        <w:tc>
          <w:tcPr>
            <w:tcW w:w="2645" w:type="dxa"/>
            <w:vAlign w:val="center"/>
          </w:tcPr>
          <w:p>
            <w:pPr>
              <w:rPr>
                <w:rFonts w:ascii="仿宋" w:hAnsi="仿宋" w:eastAsia="仿宋" w:cs="仿宋"/>
                <w:kern w:val="0"/>
                <w:sz w:val="28"/>
                <w:szCs w:val="28"/>
                <w:highlight w:val="none"/>
              </w:rPr>
            </w:pPr>
            <w:r>
              <w:rPr>
                <w:rFonts w:hint="eastAsia" w:ascii="仿宋" w:hAnsi="仿宋" w:eastAsia="仿宋" w:cs="仿宋"/>
                <w:kern w:val="0"/>
                <w:sz w:val="28"/>
                <w:szCs w:val="28"/>
                <w:highlight w:val="none"/>
              </w:rPr>
              <w:t>建设期投资额（元）</w:t>
            </w:r>
          </w:p>
        </w:tc>
        <w:tc>
          <w:tcPr>
            <w:tcW w:w="1809" w:type="dxa"/>
            <w:vAlign w:val="center"/>
          </w:tcPr>
          <w:p>
            <w:pPr>
              <w:jc w:val="left"/>
              <w:rPr>
                <w:rFonts w:ascii="仿宋" w:hAnsi="仿宋" w:eastAsia="仿宋" w:cs="仿宋"/>
                <w:kern w:val="0"/>
                <w:sz w:val="28"/>
                <w:szCs w:val="28"/>
                <w:highlight w:val="none"/>
              </w:rPr>
            </w:pPr>
            <w:r>
              <w:rPr>
                <w:rFonts w:hint="eastAsia" w:ascii="仿宋" w:hAnsi="仿宋" w:eastAsia="仿宋" w:cs="仿宋"/>
                <w:kern w:val="0"/>
                <w:sz w:val="28"/>
                <w:szCs w:val="28"/>
                <w:highlight w:val="none"/>
              </w:rPr>
              <w:t>小写</w:t>
            </w:r>
          </w:p>
        </w:tc>
        <w:tc>
          <w:tcPr>
            <w:tcW w:w="2268" w:type="dxa"/>
            <w:vAlign w:val="center"/>
          </w:tcPr>
          <w:p>
            <w:pPr>
              <w:ind w:firstLine="420"/>
              <w:jc w:val="left"/>
              <w:rPr>
                <w:rFonts w:ascii="仿宋" w:hAnsi="仿宋" w:eastAsia="仿宋" w:cs="仿宋"/>
                <w:kern w:val="0"/>
                <w:sz w:val="28"/>
                <w:szCs w:val="28"/>
                <w:highlight w:val="none"/>
              </w:rPr>
            </w:pPr>
            <w:r>
              <w:rPr>
                <w:rFonts w:hint="eastAsia" w:ascii="仿宋" w:hAnsi="仿宋" w:eastAsia="仿宋" w:cs="仿宋"/>
                <w:kern w:val="0"/>
                <w:sz w:val="28"/>
                <w:szCs w:val="28"/>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57" w:type="dxa"/>
            <w:vAlign w:val="center"/>
          </w:tcPr>
          <w:p>
            <w:pPr>
              <w:jc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3</w:t>
            </w:r>
          </w:p>
        </w:tc>
        <w:tc>
          <w:tcPr>
            <w:tcW w:w="2645" w:type="dxa"/>
            <w:vAlign w:val="center"/>
          </w:tcPr>
          <w:p>
            <w:pPr>
              <w:rPr>
                <w:rFonts w:ascii="仿宋" w:hAnsi="仿宋" w:eastAsia="仿宋" w:cs="仿宋"/>
                <w:kern w:val="0"/>
                <w:sz w:val="28"/>
                <w:szCs w:val="28"/>
                <w:highlight w:val="none"/>
              </w:rPr>
            </w:pPr>
            <w:r>
              <w:rPr>
                <w:rFonts w:hint="eastAsia" w:ascii="仿宋" w:hAnsi="仿宋" w:eastAsia="仿宋" w:cs="仿宋"/>
                <w:kern w:val="0"/>
                <w:sz w:val="28"/>
                <w:szCs w:val="28"/>
                <w:highlight w:val="none"/>
              </w:rPr>
              <w:t>节水率（%）</w:t>
            </w:r>
          </w:p>
        </w:tc>
        <w:tc>
          <w:tcPr>
            <w:tcW w:w="1809" w:type="dxa"/>
            <w:vAlign w:val="center"/>
          </w:tcPr>
          <w:p>
            <w:pPr>
              <w:jc w:val="left"/>
              <w:rPr>
                <w:rFonts w:ascii="仿宋" w:hAnsi="仿宋" w:eastAsia="仿宋" w:cs="仿宋"/>
                <w:kern w:val="0"/>
                <w:sz w:val="28"/>
                <w:szCs w:val="28"/>
                <w:highlight w:val="none"/>
              </w:rPr>
            </w:pPr>
            <w:r>
              <w:rPr>
                <w:rFonts w:hint="eastAsia" w:ascii="仿宋" w:hAnsi="仿宋" w:eastAsia="仿宋" w:cs="仿宋"/>
                <w:kern w:val="0"/>
                <w:sz w:val="28"/>
                <w:szCs w:val="28"/>
                <w:highlight w:val="none"/>
              </w:rPr>
              <w:t>小写</w:t>
            </w:r>
          </w:p>
        </w:tc>
        <w:tc>
          <w:tcPr>
            <w:tcW w:w="2268" w:type="dxa"/>
            <w:vAlign w:val="center"/>
          </w:tcPr>
          <w:p>
            <w:pPr>
              <w:ind w:firstLine="420"/>
              <w:jc w:val="left"/>
              <w:rPr>
                <w:rFonts w:ascii="仿宋" w:hAnsi="仿宋" w:eastAsia="仿宋" w:cs="仿宋"/>
                <w:kern w:val="0"/>
                <w:sz w:val="28"/>
                <w:szCs w:val="28"/>
                <w:highlight w:val="none"/>
              </w:rPr>
            </w:pPr>
            <w:r>
              <w:rPr>
                <w:rFonts w:hint="eastAsia" w:ascii="仿宋" w:hAnsi="仿宋" w:eastAsia="仿宋" w:cs="仿宋"/>
                <w:kern w:val="0"/>
                <w:sz w:val="28"/>
                <w:szCs w:val="28"/>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57" w:type="dxa"/>
            <w:vAlign w:val="center"/>
          </w:tcPr>
          <w:p>
            <w:pPr>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4</w:t>
            </w:r>
          </w:p>
        </w:tc>
        <w:tc>
          <w:tcPr>
            <w:tcW w:w="2645" w:type="dxa"/>
            <w:vAlign w:val="center"/>
          </w:tcPr>
          <w:p>
            <w:pP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招标人节水效益分享比例（%）</w:t>
            </w:r>
          </w:p>
        </w:tc>
        <w:tc>
          <w:tcPr>
            <w:tcW w:w="1809" w:type="dxa"/>
            <w:vAlign w:val="center"/>
          </w:tcPr>
          <w:p>
            <w:pPr>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小写</w:t>
            </w:r>
          </w:p>
        </w:tc>
        <w:tc>
          <w:tcPr>
            <w:tcW w:w="2268" w:type="dxa"/>
            <w:vAlign w:val="center"/>
          </w:tcPr>
          <w:p>
            <w:pPr>
              <w:ind w:firstLine="42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大写</w:t>
            </w:r>
          </w:p>
        </w:tc>
      </w:tr>
    </w:tbl>
    <w:p>
      <w:pPr>
        <w:spacing w:line="520" w:lineRule="exact"/>
        <w:ind w:right="-248" w:rightChars="-118" w:firstLine="5871" w:firstLineChars="2097"/>
        <w:rPr>
          <w:rFonts w:ascii="仿宋" w:hAnsi="仿宋" w:eastAsia="仿宋" w:cs="仿宋"/>
          <w:color w:val="000000" w:themeColor="text1"/>
          <w:sz w:val="28"/>
          <w:szCs w:val="28"/>
          <w:highlight w:val="none"/>
          <w14:textFill>
            <w14:solidFill>
              <w14:schemeClr w14:val="tx1"/>
            </w14:solidFill>
          </w14:textFill>
        </w:rPr>
      </w:pPr>
    </w:p>
    <w:p>
      <w:pPr>
        <w:spacing w:line="52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投标人（加盖公章）：</w:t>
      </w:r>
    </w:p>
    <w:p>
      <w:pPr>
        <w:spacing w:line="520" w:lineRule="exact"/>
        <w:rPr>
          <w:rFonts w:ascii="仿宋" w:hAnsi="仿宋" w:eastAsia="仿宋" w:cs="仿宋"/>
          <w:color w:val="000000" w:themeColor="text1"/>
          <w:sz w:val="28"/>
          <w:szCs w:val="28"/>
          <w:highlight w:val="none"/>
          <w14:textFill>
            <w14:solidFill>
              <w14:schemeClr w14:val="tx1"/>
            </w14:solidFill>
          </w14:textFill>
        </w:rPr>
      </w:pPr>
    </w:p>
    <w:p>
      <w:pPr>
        <w:spacing w:line="520" w:lineRule="exact"/>
        <w:rPr>
          <w:rFonts w:ascii="仿宋" w:hAnsi="仿宋" w:eastAsia="仿宋" w:cs="仿宋"/>
          <w:color w:val="000000" w:themeColor="text1"/>
          <w:w w:val="90"/>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法定代表人或其授权委托人（签章）：</w:t>
      </w:r>
    </w:p>
    <w:p>
      <w:pPr>
        <w:widowControl/>
        <w:snapToGrid w:val="0"/>
        <w:spacing w:line="560" w:lineRule="exact"/>
        <w:ind w:firstLine="3500" w:firstLineChars="1250"/>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日期：  年  月  日</w:t>
      </w:r>
    </w:p>
    <w:p>
      <w:pPr>
        <w:rPr>
          <w:rFonts w:ascii="仿宋" w:hAnsi="仿宋" w:eastAsia="仿宋" w:cs="仿宋"/>
          <w:b/>
          <w:color w:val="000000" w:themeColor="text1"/>
          <w:sz w:val="28"/>
          <w:szCs w:val="28"/>
          <w:highlight w:val="none"/>
          <w14:textFill>
            <w14:solidFill>
              <w14:schemeClr w14:val="tx1"/>
            </w14:solidFill>
          </w14:textFill>
        </w:rPr>
      </w:pPr>
    </w:p>
    <w:p>
      <w:pPr>
        <w:spacing w:line="340" w:lineRule="exact"/>
        <w:rPr>
          <w:rFonts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注：</w:t>
      </w:r>
    </w:p>
    <w:p>
      <w:pPr>
        <w:spacing w:line="44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1.所有价格用人民币报价。</w:t>
      </w:r>
    </w:p>
    <w:p>
      <w:pPr>
        <w:spacing w:line="44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2.投标报价为与采购项目有关的全部费用之和，以后不得追加任何费用。</w:t>
      </w:r>
    </w:p>
    <w:p>
      <w:pPr>
        <w:spacing w:line="44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3.如果单价和总价不符时，以总价为准；大小写金额不一致，以大写为准。</w:t>
      </w:r>
    </w:p>
    <w:p>
      <w:pPr>
        <w:spacing w:line="440" w:lineRule="exact"/>
        <w:rPr>
          <w:rFonts w:ascii="仿宋" w:hAnsi="仿宋" w:eastAsia="仿宋" w:cs="仿宋"/>
          <w:color w:val="000000" w:themeColor="text1"/>
          <w:sz w:val="28"/>
          <w:szCs w:val="28"/>
          <w:highlight w:val="none"/>
          <w14:textFill>
            <w14:solidFill>
              <w14:schemeClr w14:val="tx1"/>
            </w14:solidFill>
          </w14:textFill>
        </w:rPr>
      </w:pPr>
    </w:p>
    <w:p>
      <w:pPr>
        <w:spacing w:line="660" w:lineRule="exact"/>
        <w:jc w:val="left"/>
        <w:rPr>
          <w:rFonts w:ascii="仿宋" w:hAnsi="仿宋" w:eastAsia="仿宋" w:cs="仿宋"/>
          <w:bCs/>
          <w:color w:val="000000" w:themeColor="text1"/>
          <w:sz w:val="28"/>
          <w:szCs w:val="28"/>
          <w:highlight w:val="none"/>
          <w14:textFill>
            <w14:solidFill>
              <w14:schemeClr w14:val="tx1"/>
            </w14:solidFill>
          </w14:textFill>
        </w:rPr>
      </w:pPr>
    </w:p>
    <w:p>
      <w:pPr>
        <w:spacing w:line="660" w:lineRule="exact"/>
        <w:jc w:val="left"/>
        <w:rPr>
          <w:rFonts w:ascii="仿宋" w:hAnsi="仿宋" w:eastAsia="仿宋" w:cs="仿宋"/>
          <w:bCs/>
          <w:color w:val="000000" w:themeColor="text1"/>
          <w:sz w:val="28"/>
          <w:szCs w:val="28"/>
          <w:highlight w:val="none"/>
          <w14:textFill>
            <w14:solidFill>
              <w14:schemeClr w14:val="tx1"/>
            </w14:solidFill>
          </w14:textFill>
        </w:rPr>
      </w:pPr>
    </w:p>
    <w:p>
      <w:pPr>
        <w:pStyle w:val="9"/>
        <w:spacing w:line="440" w:lineRule="exact"/>
        <w:jc w:val="center"/>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br w:type="page"/>
      </w:r>
      <w:r>
        <w:rPr>
          <w:rFonts w:hint="eastAsia" w:ascii="仿宋" w:hAnsi="仿宋" w:eastAsia="仿宋" w:cs="仿宋"/>
          <w:color w:val="000000" w:themeColor="text1"/>
          <w:sz w:val="28"/>
          <w:szCs w:val="28"/>
          <w:highlight w:val="none"/>
          <w14:textFill>
            <w14:solidFill>
              <w14:schemeClr w14:val="tx1"/>
            </w14:solidFill>
          </w14:textFill>
        </w:rPr>
        <w:t>六、完全响应第二章项目采购需求的承诺书</w:t>
      </w:r>
    </w:p>
    <w:p>
      <w:pPr>
        <w:spacing w:line="520" w:lineRule="exact"/>
        <w:rPr>
          <w:rFonts w:ascii="仿宋" w:hAnsi="仿宋" w:eastAsia="仿宋" w:cs="仿宋"/>
          <w:color w:val="000000" w:themeColor="text1"/>
          <w:sz w:val="28"/>
          <w:szCs w:val="28"/>
          <w:highlight w:val="none"/>
          <w14:textFill>
            <w14:solidFill>
              <w14:schemeClr w14:val="tx1"/>
            </w14:solidFill>
          </w14:textFill>
        </w:rPr>
      </w:pPr>
    </w:p>
    <w:p>
      <w:pPr>
        <w:pStyle w:val="19"/>
        <w:ind w:firstLine="560"/>
        <w:rPr>
          <w:rFonts w:ascii="仿宋" w:hAnsi="仿宋" w:eastAsia="仿宋" w:cs="仿宋"/>
          <w:sz w:val="28"/>
          <w:szCs w:val="28"/>
          <w:highlight w:val="none"/>
          <w:lang w:val="en-US"/>
        </w:rPr>
      </w:pPr>
      <w:r>
        <w:rPr>
          <w:rFonts w:hint="eastAsia" w:ascii="仿宋" w:hAnsi="仿宋" w:eastAsia="仿宋" w:cs="仿宋"/>
          <w:sz w:val="28"/>
          <w:szCs w:val="28"/>
          <w:highlight w:val="none"/>
          <w:lang w:val="en-US"/>
        </w:rPr>
        <w:t>我公司已仔细阅读招标文件中所有技术规范条款、相关功能要求、商务要求。再次郑重承诺，本次我公司完全响应招标文件第二章全部条款。</w:t>
      </w:r>
    </w:p>
    <w:p>
      <w:pPr>
        <w:pStyle w:val="19"/>
        <w:ind w:firstLine="560"/>
        <w:rPr>
          <w:rFonts w:ascii="仿宋" w:hAnsi="仿宋" w:eastAsia="仿宋" w:cs="仿宋"/>
          <w:sz w:val="28"/>
          <w:szCs w:val="28"/>
          <w:highlight w:val="none"/>
          <w:lang w:val="en-US"/>
        </w:rPr>
      </w:pPr>
      <w:r>
        <w:rPr>
          <w:rFonts w:hint="eastAsia" w:ascii="仿宋" w:hAnsi="仿宋" w:eastAsia="仿宋" w:cs="仿宋"/>
          <w:sz w:val="28"/>
          <w:szCs w:val="28"/>
          <w:highlight w:val="none"/>
          <w:lang w:val="en-US"/>
        </w:rPr>
        <w:t>特此声明！</w:t>
      </w:r>
    </w:p>
    <w:p>
      <w:pPr>
        <w:pStyle w:val="19"/>
        <w:ind w:firstLine="560"/>
        <w:rPr>
          <w:rFonts w:ascii="仿宋" w:hAnsi="仿宋" w:eastAsia="仿宋" w:cs="仿宋"/>
          <w:sz w:val="28"/>
          <w:szCs w:val="28"/>
          <w:highlight w:val="none"/>
          <w:lang w:val="en-US"/>
        </w:rPr>
      </w:pPr>
    </w:p>
    <w:p>
      <w:pPr>
        <w:pStyle w:val="19"/>
        <w:ind w:firstLine="560"/>
        <w:rPr>
          <w:rFonts w:ascii="仿宋" w:hAnsi="仿宋" w:eastAsia="仿宋" w:cs="仿宋"/>
          <w:sz w:val="28"/>
          <w:szCs w:val="28"/>
          <w:highlight w:val="none"/>
          <w:lang w:val="en-US"/>
        </w:rPr>
      </w:pPr>
    </w:p>
    <w:p>
      <w:pPr>
        <w:spacing w:line="520" w:lineRule="exact"/>
        <w:rPr>
          <w:rFonts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投标人：</w:t>
      </w:r>
      <w:r>
        <w:rPr>
          <w:rFonts w:hint="eastAsia" w:ascii="仿宋" w:hAnsi="仿宋" w:eastAsia="仿宋" w:cs="仿宋"/>
          <w:color w:val="000000" w:themeColor="text1"/>
          <w:sz w:val="28"/>
          <w:szCs w:val="28"/>
          <w:highlight w:val="none"/>
          <w:u w:val="single"/>
          <w14:textFill>
            <w14:solidFill>
              <w14:schemeClr w14:val="tx1"/>
            </w14:solidFill>
          </w14:textFill>
        </w:rPr>
        <w:t>（加盖公章）</w:t>
      </w:r>
    </w:p>
    <w:p>
      <w:pPr>
        <w:spacing w:line="520" w:lineRule="exact"/>
        <w:rPr>
          <w:rFonts w:ascii="仿宋" w:hAnsi="仿宋" w:eastAsia="仿宋" w:cs="仿宋"/>
          <w:color w:val="000000" w:themeColor="text1"/>
          <w:w w:val="90"/>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法定代表人或其授权委托人（签章）：</w:t>
      </w:r>
    </w:p>
    <w:p>
      <w:pPr>
        <w:widowControl/>
        <w:snapToGrid w:val="0"/>
        <w:spacing w:line="560" w:lineRule="exact"/>
        <w:ind w:firstLine="3360" w:firstLineChars="1200"/>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日期：  年  月  日</w:t>
      </w:r>
    </w:p>
    <w:p>
      <w:pPr>
        <w:spacing w:line="440" w:lineRule="exact"/>
        <w:rPr>
          <w:rFonts w:ascii="仿宋" w:hAnsi="仿宋" w:eastAsia="仿宋" w:cs="仿宋"/>
          <w:color w:val="000000" w:themeColor="text1"/>
          <w:sz w:val="28"/>
          <w:szCs w:val="28"/>
          <w:highlight w:val="none"/>
          <w14:textFill>
            <w14:solidFill>
              <w14:schemeClr w14:val="tx1"/>
            </w14:solidFill>
          </w14:textFill>
        </w:rPr>
      </w:pPr>
    </w:p>
    <w:p>
      <w:pPr>
        <w:spacing w:line="44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注:（1）投标人必须仔细阅读本招标文件中所有技术规范条款、相关功能要求和商务要求。</w:t>
      </w:r>
    </w:p>
    <w:p>
      <w:pPr>
        <w:pStyle w:val="19"/>
        <w:ind w:firstLine="560"/>
        <w:rPr>
          <w:rFonts w:ascii="仿宋" w:hAnsi="仿宋" w:eastAsia="仿宋" w:cs="仿宋"/>
          <w:sz w:val="28"/>
          <w:szCs w:val="28"/>
          <w:highlight w:val="none"/>
          <w:lang w:val="en-US"/>
        </w:rPr>
      </w:pPr>
    </w:p>
    <w:p>
      <w:pPr>
        <w:autoSpaceDE w:val="0"/>
        <w:autoSpaceDN w:val="0"/>
        <w:adjustRightInd w:val="0"/>
        <w:spacing w:line="720" w:lineRule="exact"/>
        <w:jc w:val="center"/>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br w:type="page"/>
      </w:r>
      <w:r>
        <w:rPr>
          <w:rFonts w:hint="eastAsia" w:ascii="仿宋" w:hAnsi="仿宋" w:eastAsia="仿宋" w:cs="仿宋"/>
          <w:color w:val="000000" w:themeColor="text1"/>
          <w:sz w:val="28"/>
          <w:szCs w:val="28"/>
          <w:highlight w:val="none"/>
          <w14:textFill>
            <w14:solidFill>
              <w14:schemeClr w14:val="tx1"/>
            </w14:solidFill>
          </w14:textFill>
        </w:rPr>
        <w:t>七、</w:t>
      </w:r>
      <w:r>
        <w:rPr>
          <w:rFonts w:hint="eastAsia" w:ascii="仿宋" w:hAnsi="仿宋" w:eastAsia="仿宋" w:cs="仿宋"/>
          <w:color w:val="000000" w:themeColor="text1"/>
          <w:kern w:val="0"/>
          <w:sz w:val="28"/>
          <w:szCs w:val="28"/>
          <w:highlight w:val="none"/>
          <w14:textFill>
            <w14:solidFill>
              <w14:schemeClr w14:val="tx1"/>
            </w14:solidFill>
          </w14:textFill>
        </w:rPr>
        <w:t>参加政府采购活动前三年内在经营活动和招投标</w:t>
      </w:r>
    </w:p>
    <w:p>
      <w:pPr>
        <w:autoSpaceDE w:val="0"/>
        <w:autoSpaceDN w:val="0"/>
        <w:adjustRightInd w:val="0"/>
        <w:spacing w:line="720" w:lineRule="exact"/>
        <w:ind w:firstLine="548" w:firstLineChars="196"/>
        <w:jc w:val="center"/>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活动中没有重大违法记录的承诺书</w:t>
      </w:r>
    </w:p>
    <w:p>
      <w:pPr>
        <w:rPr>
          <w:rFonts w:ascii="仿宋" w:hAnsi="仿宋" w:eastAsia="仿宋" w:cs="仿宋"/>
          <w:color w:val="000000" w:themeColor="text1"/>
          <w:sz w:val="28"/>
          <w:szCs w:val="28"/>
          <w:highlight w:val="none"/>
          <w14:textFill>
            <w14:solidFill>
              <w14:schemeClr w14:val="tx1"/>
            </w14:solidFill>
          </w14:textFill>
        </w:rPr>
      </w:pPr>
    </w:p>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XXXXXX：</w:t>
      </w:r>
    </w:p>
    <w:p>
      <w:pPr>
        <w:autoSpaceDE w:val="0"/>
        <w:autoSpaceDN w:val="0"/>
        <w:adjustRightInd w:val="0"/>
        <w:spacing w:line="720" w:lineRule="exact"/>
        <w:ind w:firstLine="560" w:firstLineChars="200"/>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我公司郑重声明:</w:t>
      </w:r>
      <w:r>
        <w:rPr>
          <w:rFonts w:hint="eastAsia" w:ascii="仿宋" w:hAnsi="仿宋" w:eastAsia="仿宋" w:cs="仿宋"/>
          <w:color w:val="000000" w:themeColor="text1"/>
          <w:kern w:val="0"/>
          <w:sz w:val="28"/>
          <w:szCs w:val="28"/>
          <w:highlight w:val="none"/>
          <w14:textFill>
            <w14:solidFill>
              <w14:schemeClr w14:val="tx1"/>
            </w14:solidFill>
          </w14:textFill>
        </w:rPr>
        <w:t>参加本次采购活动前三年内</w:t>
      </w:r>
      <w:r>
        <w:rPr>
          <w:rFonts w:hint="eastAsia" w:ascii="仿宋" w:hAnsi="仿宋" w:eastAsia="仿宋" w:cs="仿宋"/>
          <w:color w:val="000000" w:themeColor="text1"/>
          <w:kern w:val="0"/>
          <w:sz w:val="28"/>
          <w:szCs w:val="28"/>
          <w:highlight w:val="none"/>
          <w14:textFill>
            <w14:solidFill>
              <w14:schemeClr w14:val="tx1"/>
            </w14:solidFill>
          </w14:textFill>
        </w:rPr>
        <w:t>，我公司在经营活动中没有因违法经营受到刑事处罚或者责令停产停业、吊销许可证或者营业执照、较大数额罚款等行政处罚。在招投标活动中</w:t>
      </w:r>
      <w:r>
        <w:rPr>
          <w:rFonts w:hint="eastAsia" w:ascii="仿宋" w:hAnsi="仿宋" w:eastAsia="仿宋" w:cs="仿宋"/>
          <w:color w:val="000000" w:themeColor="text1"/>
          <w:sz w:val="28"/>
          <w:szCs w:val="28"/>
          <w:highlight w:val="none"/>
          <w14:textFill>
            <w14:solidFill>
              <w14:schemeClr w14:val="tx1"/>
            </w14:solidFill>
          </w14:textFill>
        </w:rPr>
        <w:t>无任何违法违规等不良记录</w:t>
      </w:r>
    </w:p>
    <w:p>
      <w:pPr>
        <w:autoSpaceDE w:val="0"/>
        <w:autoSpaceDN w:val="0"/>
        <w:adjustRightInd w:val="0"/>
        <w:spacing w:line="720" w:lineRule="exact"/>
        <w:ind w:firstLine="560" w:firstLineChars="200"/>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特此声明！</w:t>
      </w:r>
    </w:p>
    <w:p>
      <w:pPr>
        <w:autoSpaceDE w:val="0"/>
        <w:autoSpaceDN w:val="0"/>
        <w:adjustRightInd w:val="0"/>
        <w:spacing w:line="720" w:lineRule="exact"/>
        <w:jc w:val="left"/>
        <w:rPr>
          <w:rFonts w:ascii="仿宋" w:hAnsi="仿宋" w:eastAsia="仿宋" w:cs="仿宋"/>
          <w:color w:val="000000" w:themeColor="text1"/>
          <w:kern w:val="0"/>
          <w:sz w:val="28"/>
          <w:szCs w:val="28"/>
          <w:highlight w:val="none"/>
          <w14:textFill>
            <w14:solidFill>
              <w14:schemeClr w14:val="tx1"/>
            </w14:solidFill>
          </w14:textFill>
        </w:rPr>
      </w:pPr>
    </w:p>
    <w:p>
      <w:pPr>
        <w:spacing w:line="520" w:lineRule="exact"/>
        <w:ind w:firstLine="562" w:firstLineChars="200"/>
        <w:rPr>
          <w:rFonts w:ascii="仿宋" w:hAnsi="仿宋" w:eastAsia="仿宋" w:cs="仿宋"/>
          <w:b/>
          <w:bCs/>
          <w:color w:val="000000" w:themeColor="text1"/>
          <w:sz w:val="28"/>
          <w:szCs w:val="28"/>
          <w:highlight w:val="none"/>
          <w14:textFill>
            <w14:solidFill>
              <w14:schemeClr w14:val="tx1"/>
            </w14:solidFill>
          </w14:textFill>
        </w:rPr>
      </w:pPr>
    </w:p>
    <w:p>
      <w:pPr>
        <w:spacing w:line="520" w:lineRule="exact"/>
        <w:ind w:firstLine="562" w:firstLineChars="200"/>
        <w:rPr>
          <w:rFonts w:ascii="仿宋" w:hAnsi="仿宋" w:eastAsia="仿宋" w:cs="仿宋"/>
          <w:b/>
          <w:bCs/>
          <w:color w:val="000000" w:themeColor="text1"/>
          <w:sz w:val="28"/>
          <w:szCs w:val="28"/>
          <w:highlight w:val="none"/>
          <w14:textFill>
            <w14:solidFill>
              <w14:schemeClr w14:val="tx1"/>
            </w14:solidFill>
          </w14:textFill>
        </w:rPr>
      </w:pPr>
    </w:p>
    <w:p>
      <w:pPr>
        <w:autoSpaceDE w:val="0"/>
        <w:autoSpaceDN w:val="0"/>
        <w:adjustRightInd w:val="0"/>
        <w:spacing w:line="720" w:lineRule="exact"/>
        <w:jc w:val="center"/>
        <w:rPr>
          <w:rFonts w:ascii="仿宋" w:hAnsi="仿宋" w:eastAsia="仿宋" w:cs="仿宋"/>
          <w:color w:val="000000" w:themeColor="text1"/>
          <w:sz w:val="28"/>
          <w:szCs w:val="28"/>
          <w:highlight w:val="none"/>
          <w:u w:val="single"/>
          <w:lang w:val="zh-CN"/>
          <w14:textFill>
            <w14:solidFill>
              <w14:schemeClr w14:val="tx1"/>
            </w14:solidFill>
          </w14:textFill>
        </w:rPr>
      </w:pPr>
      <w:r>
        <w:rPr>
          <w:rFonts w:hint="eastAsia" w:ascii="仿宋" w:hAnsi="仿宋" w:eastAsia="仿宋" w:cs="仿宋"/>
          <w:color w:val="000000" w:themeColor="text1"/>
          <w:sz w:val="28"/>
          <w:szCs w:val="28"/>
          <w:highlight w:val="none"/>
          <w:lang w:val="zh-CN"/>
          <w14:textFill>
            <w14:solidFill>
              <w14:schemeClr w14:val="tx1"/>
            </w14:solidFill>
          </w14:textFill>
        </w:rPr>
        <w:t>投标人</w:t>
      </w:r>
      <w:r>
        <w:rPr>
          <w:rFonts w:hint="eastAsia" w:ascii="仿宋" w:hAnsi="仿宋" w:eastAsia="仿宋" w:cs="仿宋"/>
          <w:color w:val="000000" w:themeColor="text1"/>
          <w:sz w:val="28"/>
          <w:szCs w:val="28"/>
          <w:highlight w:val="none"/>
          <w14:textFill>
            <w14:solidFill>
              <w14:schemeClr w14:val="tx1"/>
            </w14:solidFill>
          </w14:textFill>
        </w:rPr>
        <w:t xml:space="preserve">: </w:t>
      </w:r>
      <w:r>
        <w:rPr>
          <w:rFonts w:hint="eastAsia" w:ascii="仿宋" w:hAnsi="仿宋" w:eastAsia="仿宋" w:cs="仿宋"/>
          <w:color w:val="000000" w:themeColor="text1"/>
          <w:sz w:val="28"/>
          <w:szCs w:val="28"/>
          <w:highlight w:val="none"/>
          <w:u w:val="single"/>
          <w:lang w:val="zh-CN"/>
          <w14:textFill>
            <w14:solidFill>
              <w14:schemeClr w14:val="tx1"/>
            </w14:solidFill>
          </w14:textFill>
        </w:rPr>
        <w:t xml:space="preserve">            (盖章)</w:t>
      </w:r>
    </w:p>
    <w:p>
      <w:pPr>
        <w:spacing w:line="520" w:lineRule="exact"/>
        <w:ind w:firstLine="3080" w:firstLineChars="1100"/>
        <w:rPr>
          <w:rFonts w:ascii="仿宋" w:hAnsi="仿宋" w:eastAsia="仿宋" w:cs="仿宋"/>
          <w:color w:val="000000" w:themeColor="text1"/>
          <w:w w:val="90"/>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法定代表人或其授权委托人（签章）：</w:t>
      </w:r>
    </w:p>
    <w:p>
      <w:pPr>
        <w:widowControl/>
        <w:snapToGrid w:val="0"/>
        <w:spacing w:line="560" w:lineRule="exact"/>
        <w:ind w:firstLine="3080" w:firstLineChars="1100"/>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日期：年月日</w:t>
      </w:r>
    </w:p>
    <w:p>
      <w:pPr>
        <w:ind w:firstLine="555"/>
        <w:rPr>
          <w:rFonts w:ascii="仿宋" w:hAnsi="仿宋" w:eastAsia="仿宋" w:cs="仿宋"/>
          <w:color w:val="000000" w:themeColor="text1"/>
          <w:sz w:val="28"/>
          <w:szCs w:val="28"/>
          <w:highlight w:val="none"/>
          <w14:textFill>
            <w14:solidFill>
              <w14:schemeClr w14:val="tx1"/>
            </w14:solidFill>
          </w14:textFill>
        </w:rPr>
      </w:pPr>
    </w:p>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br w:type="page"/>
      </w:r>
      <w:r>
        <w:rPr>
          <w:rFonts w:hint="eastAsia" w:ascii="仿宋" w:hAnsi="仿宋" w:eastAsia="仿宋" w:cs="仿宋"/>
          <w:color w:val="000000" w:themeColor="text1"/>
          <w:kern w:val="0"/>
          <w:sz w:val="28"/>
          <w:szCs w:val="28"/>
          <w:highlight w:val="none"/>
          <w14:textFill>
            <w14:solidFill>
              <w14:schemeClr w14:val="tx1"/>
            </w14:solidFill>
          </w14:textFill>
        </w:rPr>
        <w:t>八、投标人类似业绩一览表</w:t>
      </w:r>
    </w:p>
    <w:p>
      <w:pPr>
        <w:rPr>
          <w:rFonts w:ascii="仿宋" w:hAnsi="仿宋" w:eastAsia="仿宋" w:cs="仿宋"/>
          <w:color w:val="000000" w:themeColor="text1"/>
          <w:sz w:val="28"/>
          <w:szCs w:val="28"/>
          <w:highlight w:val="none"/>
          <w14:textFill>
            <w14:solidFill>
              <w14:schemeClr w14:val="tx1"/>
            </w14:solidFill>
          </w14:textFill>
        </w:rPr>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1372"/>
        <w:gridCol w:w="1660"/>
        <w:gridCol w:w="1372"/>
        <w:gridCol w:w="2523"/>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468" w:type="pct"/>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序号</w:t>
            </w:r>
          </w:p>
        </w:tc>
        <w:tc>
          <w:tcPr>
            <w:tcW w:w="805" w:type="pct"/>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项目名称</w:t>
            </w:r>
          </w:p>
        </w:tc>
        <w:tc>
          <w:tcPr>
            <w:tcW w:w="974" w:type="pct"/>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采购人名称</w:t>
            </w:r>
          </w:p>
        </w:tc>
        <w:tc>
          <w:tcPr>
            <w:tcW w:w="805" w:type="pct"/>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合同期限</w:t>
            </w:r>
          </w:p>
        </w:tc>
        <w:tc>
          <w:tcPr>
            <w:tcW w:w="1480" w:type="pct"/>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联系人及联系电话</w:t>
            </w:r>
          </w:p>
        </w:tc>
        <w:tc>
          <w:tcPr>
            <w:tcW w:w="468" w:type="pct"/>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468" w:type="pct"/>
          </w:tcPr>
          <w:p>
            <w:pPr>
              <w:rPr>
                <w:rFonts w:ascii="仿宋" w:hAnsi="仿宋" w:eastAsia="仿宋" w:cs="仿宋"/>
                <w:color w:val="000000" w:themeColor="text1"/>
                <w:sz w:val="28"/>
                <w:szCs w:val="28"/>
                <w:highlight w:val="none"/>
                <w14:textFill>
                  <w14:solidFill>
                    <w14:schemeClr w14:val="tx1"/>
                  </w14:solidFill>
                </w14:textFill>
              </w:rPr>
            </w:pPr>
          </w:p>
        </w:tc>
        <w:tc>
          <w:tcPr>
            <w:tcW w:w="805" w:type="pct"/>
          </w:tcPr>
          <w:p>
            <w:pPr>
              <w:rPr>
                <w:rFonts w:ascii="仿宋" w:hAnsi="仿宋" w:eastAsia="仿宋" w:cs="仿宋"/>
                <w:color w:val="000000" w:themeColor="text1"/>
                <w:sz w:val="28"/>
                <w:szCs w:val="28"/>
                <w:highlight w:val="none"/>
                <w14:textFill>
                  <w14:solidFill>
                    <w14:schemeClr w14:val="tx1"/>
                  </w14:solidFill>
                </w14:textFill>
              </w:rPr>
            </w:pPr>
          </w:p>
        </w:tc>
        <w:tc>
          <w:tcPr>
            <w:tcW w:w="974" w:type="pct"/>
          </w:tcPr>
          <w:p>
            <w:pPr>
              <w:rPr>
                <w:rFonts w:ascii="仿宋" w:hAnsi="仿宋" w:eastAsia="仿宋" w:cs="仿宋"/>
                <w:color w:val="000000" w:themeColor="text1"/>
                <w:sz w:val="28"/>
                <w:szCs w:val="28"/>
                <w:highlight w:val="none"/>
                <w14:textFill>
                  <w14:solidFill>
                    <w14:schemeClr w14:val="tx1"/>
                  </w14:solidFill>
                </w14:textFill>
              </w:rPr>
            </w:pPr>
          </w:p>
        </w:tc>
        <w:tc>
          <w:tcPr>
            <w:tcW w:w="805" w:type="pct"/>
          </w:tcPr>
          <w:p>
            <w:pPr>
              <w:rPr>
                <w:rFonts w:ascii="仿宋" w:hAnsi="仿宋" w:eastAsia="仿宋" w:cs="仿宋"/>
                <w:color w:val="000000" w:themeColor="text1"/>
                <w:sz w:val="28"/>
                <w:szCs w:val="28"/>
                <w:highlight w:val="none"/>
                <w14:textFill>
                  <w14:solidFill>
                    <w14:schemeClr w14:val="tx1"/>
                  </w14:solidFill>
                </w14:textFill>
              </w:rPr>
            </w:pPr>
          </w:p>
        </w:tc>
        <w:tc>
          <w:tcPr>
            <w:tcW w:w="1480" w:type="pct"/>
          </w:tcPr>
          <w:p>
            <w:pPr>
              <w:rPr>
                <w:rFonts w:ascii="仿宋" w:hAnsi="仿宋" w:eastAsia="仿宋" w:cs="仿宋"/>
                <w:color w:val="000000" w:themeColor="text1"/>
                <w:sz w:val="28"/>
                <w:szCs w:val="28"/>
                <w:highlight w:val="none"/>
                <w14:textFill>
                  <w14:solidFill>
                    <w14:schemeClr w14:val="tx1"/>
                  </w14:solidFill>
                </w14:textFill>
              </w:rPr>
            </w:pPr>
          </w:p>
        </w:tc>
        <w:tc>
          <w:tcPr>
            <w:tcW w:w="468" w:type="pct"/>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468" w:type="pct"/>
          </w:tcPr>
          <w:p>
            <w:pPr>
              <w:rPr>
                <w:rFonts w:ascii="仿宋" w:hAnsi="仿宋" w:eastAsia="仿宋" w:cs="仿宋"/>
                <w:color w:val="000000" w:themeColor="text1"/>
                <w:sz w:val="28"/>
                <w:szCs w:val="28"/>
                <w:highlight w:val="none"/>
                <w14:textFill>
                  <w14:solidFill>
                    <w14:schemeClr w14:val="tx1"/>
                  </w14:solidFill>
                </w14:textFill>
              </w:rPr>
            </w:pPr>
          </w:p>
        </w:tc>
        <w:tc>
          <w:tcPr>
            <w:tcW w:w="805" w:type="pct"/>
          </w:tcPr>
          <w:p>
            <w:pPr>
              <w:rPr>
                <w:rFonts w:ascii="仿宋" w:hAnsi="仿宋" w:eastAsia="仿宋" w:cs="仿宋"/>
                <w:color w:val="000000" w:themeColor="text1"/>
                <w:sz w:val="28"/>
                <w:szCs w:val="28"/>
                <w:highlight w:val="none"/>
                <w14:textFill>
                  <w14:solidFill>
                    <w14:schemeClr w14:val="tx1"/>
                  </w14:solidFill>
                </w14:textFill>
              </w:rPr>
            </w:pPr>
          </w:p>
        </w:tc>
        <w:tc>
          <w:tcPr>
            <w:tcW w:w="974" w:type="pct"/>
          </w:tcPr>
          <w:p>
            <w:pPr>
              <w:rPr>
                <w:rFonts w:ascii="仿宋" w:hAnsi="仿宋" w:eastAsia="仿宋" w:cs="仿宋"/>
                <w:color w:val="000000" w:themeColor="text1"/>
                <w:sz w:val="28"/>
                <w:szCs w:val="28"/>
                <w:highlight w:val="none"/>
                <w14:textFill>
                  <w14:solidFill>
                    <w14:schemeClr w14:val="tx1"/>
                  </w14:solidFill>
                </w14:textFill>
              </w:rPr>
            </w:pPr>
          </w:p>
        </w:tc>
        <w:tc>
          <w:tcPr>
            <w:tcW w:w="805" w:type="pct"/>
          </w:tcPr>
          <w:p>
            <w:pPr>
              <w:rPr>
                <w:rFonts w:ascii="仿宋" w:hAnsi="仿宋" w:eastAsia="仿宋" w:cs="仿宋"/>
                <w:color w:val="000000" w:themeColor="text1"/>
                <w:sz w:val="28"/>
                <w:szCs w:val="28"/>
                <w:highlight w:val="none"/>
                <w14:textFill>
                  <w14:solidFill>
                    <w14:schemeClr w14:val="tx1"/>
                  </w14:solidFill>
                </w14:textFill>
              </w:rPr>
            </w:pPr>
          </w:p>
        </w:tc>
        <w:tc>
          <w:tcPr>
            <w:tcW w:w="1480" w:type="pct"/>
          </w:tcPr>
          <w:p>
            <w:pPr>
              <w:rPr>
                <w:rFonts w:ascii="仿宋" w:hAnsi="仿宋" w:eastAsia="仿宋" w:cs="仿宋"/>
                <w:color w:val="000000" w:themeColor="text1"/>
                <w:sz w:val="28"/>
                <w:szCs w:val="28"/>
                <w:highlight w:val="none"/>
                <w14:textFill>
                  <w14:solidFill>
                    <w14:schemeClr w14:val="tx1"/>
                  </w14:solidFill>
                </w14:textFill>
              </w:rPr>
            </w:pPr>
          </w:p>
        </w:tc>
        <w:tc>
          <w:tcPr>
            <w:tcW w:w="468" w:type="pct"/>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468" w:type="pct"/>
          </w:tcPr>
          <w:p>
            <w:pPr>
              <w:rPr>
                <w:rFonts w:ascii="仿宋" w:hAnsi="仿宋" w:eastAsia="仿宋" w:cs="仿宋"/>
                <w:color w:val="000000" w:themeColor="text1"/>
                <w:sz w:val="28"/>
                <w:szCs w:val="28"/>
                <w:highlight w:val="none"/>
                <w14:textFill>
                  <w14:solidFill>
                    <w14:schemeClr w14:val="tx1"/>
                  </w14:solidFill>
                </w14:textFill>
              </w:rPr>
            </w:pPr>
          </w:p>
        </w:tc>
        <w:tc>
          <w:tcPr>
            <w:tcW w:w="805" w:type="pct"/>
          </w:tcPr>
          <w:p>
            <w:pPr>
              <w:rPr>
                <w:rFonts w:ascii="仿宋" w:hAnsi="仿宋" w:eastAsia="仿宋" w:cs="仿宋"/>
                <w:color w:val="000000" w:themeColor="text1"/>
                <w:sz w:val="28"/>
                <w:szCs w:val="28"/>
                <w:highlight w:val="none"/>
                <w14:textFill>
                  <w14:solidFill>
                    <w14:schemeClr w14:val="tx1"/>
                  </w14:solidFill>
                </w14:textFill>
              </w:rPr>
            </w:pPr>
          </w:p>
        </w:tc>
        <w:tc>
          <w:tcPr>
            <w:tcW w:w="974" w:type="pct"/>
          </w:tcPr>
          <w:p>
            <w:pPr>
              <w:rPr>
                <w:rFonts w:ascii="仿宋" w:hAnsi="仿宋" w:eastAsia="仿宋" w:cs="仿宋"/>
                <w:color w:val="000000" w:themeColor="text1"/>
                <w:sz w:val="28"/>
                <w:szCs w:val="28"/>
                <w:highlight w:val="none"/>
                <w14:textFill>
                  <w14:solidFill>
                    <w14:schemeClr w14:val="tx1"/>
                  </w14:solidFill>
                </w14:textFill>
              </w:rPr>
            </w:pPr>
          </w:p>
        </w:tc>
        <w:tc>
          <w:tcPr>
            <w:tcW w:w="805" w:type="pct"/>
          </w:tcPr>
          <w:p>
            <w:pPr>
              <w:rPr>
                <w:rFonts w:ascii="仿宋" w:hAnsi="仿宋" w:eastAsia="仿宋" w:cs="仿宋"/>
                <w:color w:val="000000" w:themeColor="text1"/>
                <w:sz w:val="28"/>
                <w:szCs w:val="28"/>
                <w:highlight w:val="none"/>
                <w14:textFill>
                  <w14:solidFill>
                    <w14:schemeClr w14:val="tx1"/>
                  </w14:solidFill>
                </w14:textFill>
              </w:rPr>
            </w:pPr>
          </w:p>
        </w:tc>
        <w:tc>
          <w:tcPr>
            <w:tcW w:w="1480" w:type="pct"/>
          </w:tcPr>
          <w:p>
            <w:pPr>
              <w:rPr>
                <w:rFonts w:ascii="仿宋" w:hAnsi="仿宋" w:eastAsia="仿宋" w:cs="仿宋"/>
                <w:color w:val="000000" w:themeColor="text1"/>
                <w:sz w:val="28"/>
                <w:szCs w:val="28"/>
                <w:highlight w:val="none"/>
                <w14:textFill>
                  <w14:solidFill>
                    <w14:schemeClr w14:val="tx1"/>
                  </w14:solidFill>
                </w14:textFill>
              </w:rPr>
            </w:pPr>
          </w:p>
        </w:tc>
        <w:tc>
          <w:tcPr>
            <w:tcW w:w="468" w:type="pct"/>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468" w:type="pct"/>
          </w:tcPr>
          <w:p>
            <w:pPr>
              <w:rPr>
                <w:rFonts w:ascii="仿宋" w:hAnsi="仿宋" w:eastAsia="仿宋" w:cs="仿宋"/>
                <w:color w:val="000000" w:themeColor="text1"/>
                <w:sz w:val="28"/>
                <w:szCs w:val="28"/>
                <w:highlight w:val="none"/>
                <w14:textFill>
                  <w14:solidFill>
                    <w14:schemeClr w14:val="tx1"/>
                  </w14:solidFill>
                </w14:textFill>
              </w:rPr>
            </w:pPr>
          </w:p>
        </w:tc>
        <w:tc>
          <w:tcPr>
            <w:tcW w:w="805" w:type="pct"/>
          </w:tcPr>
          <w:p>
            <w:pPr>
              <w:rPr>
                <w:rFonts w:ascii="仿宋" w:hAnsi="仿宋" w:eastAsia="仿宋" w:cs="仿宋"/>
                <w:color w:val="000000" w:themeColor="text1"/>
                <w:sz w:val="28"/>
                <w:szCs w:val="28"/>
                <w:highlight w:val="none"/>
                <w14:textFill>
                  <w14:solidFill>
                    <w14:schemeClr w14:val="tx1"/>
                  </w14:solidFill>
                </w14:textFill>
              </w:rPr>
            </w:pPr>
          </w:p>
        </w:tc>
        <w:tc>
          <w:tcPr>
            <w:tcW w:w="974" w:type="pct"/>
          </w:tcPr>
          <w:p>
            <w:pPr>
              <w:rPr>
                <w:rFonts w:ascii="仿宋" w:hAnsi="仿宋" w:eastAsia="仿宋" w:cs="仿宋"/>
                <w:color w:val="000000" w:themeColor="text1"/>
                <w:sz w:val="28"/>
                <w:szCs w:val="28"/>
                <w:highlight w:val="none"/>
                <w14:textFill>
                  <w14:solidFill>
                    <w14:schemeClr w14:val="tx1"/>
                  </w14:solidFill>
                </w14:textFill>
              </w:rPr>
            </w:pPr>
          </w:p>
        </w:tc>
        <w:tc>
          <w:tcPr>
            <w:tcW w:w="805" w:type="pct"/>
          </w:tcPr>
          <w:p>
            <w:pPr>
              <w:rPr>
                <w:rFonts w:ascii="仿宋" w:hAnsi="仿宋" w:eastAsia="仿宋" w:cs="仿宋"/>
                <w:color w:val="000000" w:themeColor="text1"/>
                <w:sz w:val="28"/>
                <w:szCs w:val="28"/>
                <w:highlight w:val="none"/>
                <w14:textFill>
                  <w14:solidFill>
                    <w14:schemeClr w14:val="tx1"/>
                  </w14:solidFill>
                </w14:textFill>
              </w:rPr>
            </w:pPr>
          </w:p>
        </w:tc>
        <w:tc>
          <w:tcPr>
            <w:tcW w:w="1480" w:type="pct"/>
          </w:tcPr>
          <w:p>
            <w:pPr>
              <w:rPr>
                <w:rFonts w:ascii="仿宋" w:hAnsi="仿宋" w:eastAsia="仿宋" w:cs="仿宋"/>
                <w:color w:val="000000" w:themeColor="text1"/>
                <w:sz w:val="28"/>
                <w:szCs w:val="28"/>
                <w:highlight w:val="none"/>
                <w14:textFill>
                  <w14:solidFill>
                    <w14:schemeClr w14:val="tx1"/>
                  </w14:solidFill>
                </w14:textFill>
              </w:rPr>
            </w:pPr>
          </w:p>
        </w:tc>
        <w:tc>
          <w:tcPr>
            <w:tcW w:w="468" w:type="pct"/>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468" w:type="pct"/>
          </w:tcPr>
          <w:p>
            <w:pPr>
              <w:rPr>
                <w:rFonts w:ascii="仿宋" w:hAnsi="仿宋" w:eastAsia="仿宋" w:cs="仿宋"/>
                <w:color w:val="000000" w:themeColor="text1"/>
                <w:sz w:val="28"/>
                <w:szCs w:val="28"/>
                <w:highlight w:val="none"/>
                <w14:textFill>
                  <w14:solidFill>
                    <w14:schemeClr w14:val="tx1"/>
                  </w14:solidFill>
                </w14:textFill>
              </w:rPr>
            </w:pPr>
          </w:p>
        </w:tc>
        <w:tc>
          <w:tcPr>
            <w:tcW w:w="805" w:type="pct"/>
          </w:tcPr>
          <w:p>
            <w:pPr>
              <w:rPr>
                <w:rFonts w:ascii="仿宋" w:hAnsi="仿宋" w:eastAsia="仿宋" w:cs="仿宋"/>
                <w:color w:val="000000" w:themeColor="text1"/>
                <w:sz w:val="28"/>
                <w:szCs w:val="28"/>
                <w:highlight w:val="none"/>
                <w14:textFill>
                  <w14:solidFill>
                    <w14:schemeClr w14:val="tx1"/>
                  </w14:solidFill>
                </w14:textFill>
              </w:rPr>
            </w:pPr>
          </w:p>
        </w:tc>
        <w:tc>
          <w:tcPr>
            <w:tcW w:w="974" w:type="pct"/>
          </w:tcPr>
          <w:p>
            <w:pPr>
              <w:rPr>
                <w:rFonts w:ascii="仿宋" w:hAnsi="仿宋" w:eastAsia="仿宋" w:cs="仿宋"/>
                <w:color w:val="000000" w:themeColor="text1"/>
                <w:sz w:val="28"/>
                <w:szCs w:val="28"/>
                <w:highlight w:val="none"/>
                <w14:textFill>
                  <w14:solidFill>
                    <w14:schemeClr w14:val="tx1"/>
                  </w14:solidFill>
                </w14:textFill>
              </w:rPr>
            </w:pPr>
          </w:p>
        </w:tc>
        <w:tc>
          <w:tcPr>
            <w:tcW w:w="805" w:type="pct"/>
          </w:tcPr>
          <w:p>
            <w:pPr>
              <w:rPr>
                <w:rFonts w:ascii="仿宋" w:hAnsi="仿宋" w:eastAsia="仿宋" w:cs="仿宋"/>
                <w:color w:val="000000" w:themeColor="text1"/>
                <w:sz w:val="28"/>
                <w:szCs w:val="28"/>
                <w:highlight w:val="none"/>
                <w14:textFill>
                  <w14:solidFill>
                    <w14:schemeClr w14:val="tx1"/>
                  </w14:solidFill>
                </w14:textFill>
              </w:rPr>
            </w:pPr>
          </w:p>
        </w:tc>
        <w:tc>
          <w:tcPr>
            <w:tcW w:w="1480" w:type="pct"/>
          </w:tcPr>
          <w:p>
            <w:pPr>
              <w:rPr>
                <w:rFonts w:ascii="仿宋" w:hAnsi="仿宋" w:eastAsia="仿宋" w:cs="仿宋"/>
                <w:color w:val="000000" w:themeColor="text1"/>
                <w:sz w:val="28"/>
                <w:szCs w:val="28"/>
                <w:highlight w:val="none"/>
                <w14:textFill>
                  <w14:solidFill>
                    <w14:schemeClr w14:val="tx1"/>
                  </w14:solidFill>
                </w14:textFill>
              </w:rPr>
            </w:pPr>
          </w:p>
        </w:tc>
        <w:tc>
          <w:tcPr>
            <w:tcW w:w="468" w:type="pct"/>
          </w:tcPr>
          <w:p>
            <w:pPr>
              <w:rPr>
                <w:rFonts w:ascii="仿宋" w:hAnsi="仿宋" w:eastAsia="仿宋" w:cs="仿宋"/>
                <w:color w:val="000000" w:themeColor="text1"/>
                <w:sz w:val="28"/>
                <w:szCs w:val="28"/>
                <w:highlight w:val="none"/>
                <w14:textFill>
                  <w14:solidFill>
                    <w14:schemeClr w14:val="tx1"/>
                  </w14:solidFill>
                </w14:textFill>
              </w:rPr>
            </w:pPr>
          </w:p>
        </w:tc>
      </w:tr>
    </w:tbl>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备注：请填报本项目评分标准要求的相关业绩</w:t>
      </w:r>
    </w:p>
    <w:p>
      <w:pPr>
        <w:jc w:val="center"/>
        <w:rPr>
          <w:rFonts w:ascii="仿宋" w:hAnsi="仿宋" w:eastAsia="仿宋" w:cs="仿宋"/>
          <w:b/>
          <w:color w:val="000000" w:themeColor="text1"/>
          <w:sz w:val="28"/>
          <w:szCs w:val="28"/>
          <w:highlight w:val="none"/>
          <w14:textFill>
            <w14:solidFill>
              <w14:schemeClr w14:val="tx1"/>
            </w14:solidFill>
          </w14:textFill>
        </w:rPr>
      </w:pPr>
    </w:p>
    <w:p>
      <w:pPr>
        <w:spacing w:line="52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投标人（加盖公章）：</w:t>
      </w:r>
    </w:p>
    <w:p>
      <w:pPr>
        <w:spacing w:line="520" w:lineRule="exact"/>
        <w:rPr>
          <w:rFonts w:ascii="仿宋" w:hAnsi="仿宋" w:eastAsia="仿宋" w:cs="仿宋"/>
          <w:color w:val="000000" w:themeColor="text1"/>
          <w:sz w:val="28"/>
          <w:szCs w:val="28"/>
          <w:highlight w:val="none"/>
          <w14:textFill>
            <w14:solidFill>
              <w14:schemeClr w14:val="tx1"/>
            </w14:solidFill>
          </w14:textFill>
        </w:rPr>
      </w:pPr>
    </w:p>
    <w:p>
      <w:pPr>
        <w:spacing w:line="520" w:lineRule="exact"/>
        <w:rPr>
          <w:rFonts w:ascii="仿宋" w:hAnsi="仿宋" w:eastAsia="仿宋" w:cs="仿宋"/>
          <w:color w:val="000000" w:themeColor="text1"/>
          <w:w w:val="90"/>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法定代表人或其授权委托人（签章）：</w:t>
      </w:r>
    </w:p>
    <w:p>
      <w:pPr>
        <w:widowControl/>
        <w:snapToGrid w:val="0"/>
        <w:spacing w:line="560" w:lineRule="exact"/>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日期：年月日</w:t>
      </w:r>
    </w:p>
    <w:p>
      <w:pPr>
        <w:jc w:val="center"/>
        <w:rPr>
          <w:rFonts w:ascii="仿宋" w:hAnsi="仿宋" w:eastAsia="仿宋" w:cs="仿宋"/>
          <w:b/>
          <w:color w:val="000000" w:themeColor="text1"/>
          <w:sz w:val="28"/>
          <w:szCs w:val="28"/>
          <w:highlight w:val="none"/>
          <w14:textFill>
            <w14:solidFill>
              <w14:schemeClr w14:val="tx1"/>
            </w14:solidFill>
          </w14:textFill>
        </w:rPr>
      </w:pPr>
    </w:p>
    <w:p>
      <w:pPr>
        <w:pStyle w:val="6"/>
        <w:spacing w:line="440" w:lineRule="exact"/>
        <w:rPr>
          <w:rFonts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br w:type="page"/>
      </w:r>
    </w:p>
    <w:p>
      <w:pPr>
        <w:spacing w:line="640" w:lineRule="exact"/>
        <w:ind w:firstLine="2100" w:firstLineChars="750"/>
        <w:rPr>
          <w:rFonts w:ascii="仿宋" w:hAnsi="仿宋" w:eastAsia="仿宋" w:cs="仿宋"/>
          <w:bCs/>
          <w:color w:val="000000" w:themeColor="text1"/>
          <w:sz w:val="28"/>
          <w:szCs w:val="28"/>
          <w:highlight w:val="none"/>
          <w14:textFill>
            <w14:solidFill>
              <w14:schemeClr w14:val="tx1"/>
            </w14:solidFill>
          </w14:textFill>
        </w:rPr>
      </w:pPr>
    </w:p>
    <w:p>
      <w:pPr>
        <w:spacing w:line="640" w:lineRule="exact"/>
        <w:ind w:firstLine="2100" w:firstLineChars="750"/>
        <w:rPr>
          <w:rFonts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九、投标人参与投标确认函</w:t>
      </w:r>
    </w:p>
    <w:p>
      <w:pPr>
        <w:jc w:val="center"/>
        <w:rPr>
          <w:rFonts w:ascii="仿宋" w:hAnsi="仿宋" w:eastAsia="仿宋" w:cs="仿宋"/>
          <w:b/>
          <w:color w:val="000000" w:themeColor="text1"/>
          <w:sz w:val="28"/>
          <w:szCs w:val="28"/>
          <w:highlight w:val="none"/>
          <w14:textFill>
            <w14:solidFill>
              <w14:schemeClr w14:val="tx1"/>
            </w14:solidFill>
          </w14:textFill>
        </w:rPr>
      </w:pPr>
    </w:p>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XXXXXX招投标办公室：</w:t>
      </w:r>
    </w:p>
    <w:p>
      <w:pPr>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我单位将参与采购项目（项目编号:          ）的投标，现已在XXXXXX网站下载招标文件，特发函确认。</w:t>
      </w:r>
    </w:p>
    <w:p>
      <w:pPr>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投标人名称：</w:t>
      </w:r>
    </w:p>
    <w:p>
      <w:pPr>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授权委托人：</w:t>
      </w:r>
    </w:p>
    <w:p>
      <w:pPr>
        <w:ind w:firstLine="6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授权委托人移动电话：</w:t>
      </w:r>
    </w:p>
    <w:p>
      <w:pPr>
        <w:ind w:firstLine="6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电子邮箱：</w:t>
      </w:r>
    </w:p>
    <w:p>
      <w:pPr>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法定代表人(签章)：</w:t>
      </w:r>
    </w:p>
    <w:p>
      <w:pPr>
        <w:pStyle w:val="19"/>
        <w:ind w:firstLine="560"/>
        <w:rPr>
          <w:rFonts w:ascii="仿宋" w:hAnsi="仿宋" w:eastAsia="仿宋" w:cs="仿宋"/>
          <w:sz w:val="28"/>
          <w:szCs w:val="28"/>
          <w:highlight w:val="none"/>
          <w:lang w:val="en-US"/>
        </w:rPr>
      </w:pPr>
      <w:r>
        <w:rPr>
          <w:rFonts w:hint="eastAsia" w:ascii="仿宋" w:hAnsi="仿宋" w:eastAsia="仿宋" w:cs="仿宋"/>
          <w:sz w:val="28"/>
          <w:szCs w:val="28"/>
          <w:highlight w:val="none"/>
          <w:lang w:val="en-US"/>
        </w:rPr>
        <w:t>附件：提供授权委托人身份证复印件</w:t>
      </w:r>
    </w:p>
    <w:p>
      <w:pPr>
        <w:ind w:left="4760" w:hanging="4760" w:hangingChars="1700"/>
        <w:jc w:val="right"/>
        <w:rPr>
          <w:rFonts w:ascii="仿宋" w:hAnsi="仿宋" w:eastAsia="仿宋" w:cs="仿宋"/>
          <w:color w:val="000000" w:themeColor="text1"/>
          <w:sz w:val="28"/>
          <w:szCs w:val="28"/>
          <w:highlight w:val="none"/>
          <w14:textFill>
            <w14:solidFill>
              <w14:schemeClr w14:val="tx1"/>
            </w14:solidFill>
          </w14:textFill>
        </w:rPr>
      </w:pPr>
    </w:p>
    <w:p>
      <w:pPr>
        <w:wordWrap w:val="0"/>
        <w:ind w:left="4760" w:right="840" w:hanging="4760" w:hangingChars="1700"/>
        <w:jc w:val="righ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（单位公章）</w:t>
      </w:r>
    </w:p>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                               年　月　日</w:t>
      </w:r>
    </w:p>
    <w:p>
      <w:pPr>
        <w:pStyle w:val="19"/>
        <w:ind w:firstLine="0" w:firstLineChars="0"/>
        <w:rPr>
          <w:rFonts w:ascii="仿宋" w:hAnsi="仿宋" w:eastAsia="仿宋" w:cs="仿宋"/>
          <w:color w:val="000000" w:themeColor="text1"/>
          <w:highlight w:val="none"/>
          <w:lang w:val="en-US"/>
          <w14:textFill>
            <w14:solidFill>
              <w14:schemeClr w14:val="tx1"/>
            </w14:solidFill>
          </w14:textFill>
        </w:rPr>
      </w:pPr>
    </w:p>
    <w:p>
      <w:pPr>
        <w:rPr>
          <w:rFonts w:ascii="仿宋" w:hAnsi="仿宋" w:eastAsia="仿宋" w:cs="仿宋"/>
          <w:highlight w:val="none"/>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18A0FC"/>
    <w:multiLevelType w:val="singleLevel"/>
    <w:tmpl w:val="D418A0FC"/>
    <w:lvl w:ilvl="0" w:tentative="0">
      <w:start w:val="1"/>
      <w:numFmt w:val="bullet"/>
      <w:lvlText w:val=""/>
      <w:lvlJc w:val="left"/>
      <w:pPr>
        <w:ind w:left="420" w:hanging="420"/>
      </w:pPr>
      <w:rPr>
        <w:rFonts w:hint="default" w:ascii="Wingdings" w:hAnsi="Wingdings"/>
      </w:rPr>
    </w:lvl>
  </w:abstractNum>
  <w:abstractNum w:abstractNumId="1">
    <w:nsid w:val="E7B4F07E"/>
    <w:multiLevelType w:val="singleLevel"/>
    <w:tmpl w:val="E7B4F07E"/>
    <w:lvl w:ilvl="0" w:tentative="0">
      <w:start w:val="9"/>
      <w:numFmt w:val="decimal"/>
      <w:lvlText w:val="%1."/>
      <w:lvlJc w:val="left"/>
      <w:pPr>
        <w:tabs>
          <w:tab w:val="left" w:pos="312"/>
        </w:tabs>
      </w:pPr>
    </w:lvl>
  </w:abstractNum>
  <w:abstractNum w:abstractNumId="2">
    <w:nsid w:val="616DFC0D"/>
    <w:multiLevelType w:val="singleLevel"/>
    <w:tmpl w:val="616DFC0D"/>
    <w:lvl w:ilvl="0" w:tentative="0">
      <w:start w:val="1"/>
      <w:numFmt w:val="decimal"/>
      <w:suff w:val="nothing"/>
      <w:lvlText w:val="（%1）"/>
      <w:lvlJc w:val="left"/>
    </w:lvl>
  </w:abstractNum>
  <w:abstractNum w:abstractNumId="3">
    <w:nsid w:val="6F3B00D7"/>
    <w:multiLevelType w:val="singleLevel"/>
    <w:tmpl w:val="6F3B00D7"/>
    <w:lvl w:ilvl="0" w:tentative="0">
      <w:start w:val="1"/>
      <w:numFmt w:val="bullet"/>
      <w:lvlText w:val=""/>
      <w:lvlJc w:val="left"/>
      <w:pPr>
        <w:ind w:left="420" w:hanging="420"/>
      </w:pPr>
      <w:rPr>
        <w:rFonts w:hint="default" w:ascii="Wingdings" w:hAnsi="Wingdings"/>
      </w:rPr>
    </w:lvl>
  </w:abstractNum>
  <w:abstractNum w:abstractNumId="4">
    <w:nsid w:val="7C9958A4"/>
    <w:multiLevelType w:val="multilevel"/>
    <w:tmpl w:val="7C9958A4"/>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C9958A7"/>
    <w:multiLevelType w:val="multilevel"/>
    <w:tmpl w:val="7C9958A7"/>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C9958A8"/>
    <w:multiLevelType w:val="multilevel"/>
    <w:tmpl w:val="7C9958A8"/>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4"/>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mYmE4NmMyMGJmZWU1NWE5NzhhZDhkMDQ0NjQ2OTIifQ=="/>
  </w:docVars>
  <w:rsids>
    <w:rsidRoot w:val="00A61F80"/>
    <w:rsid w:val="00066B9D"/>
    <w:rsid w:val="000B53B7"/>
    <w:rsid w:val="000D5BFA"/>
    <w:rsid w:val="00126B97"/>
    <w:rsid w:val="0014121D"/>
    <w:rsid w:val="0014366A"/>
    <w:rsid w:val="00273F12"/>
    <w:rsid w:val="002F1F0D"/>
    <w:rsid w:val="00332B42"/>
    <w:rsid w:val="0038471D"/>
    <w:rsid w:val="004113E2"/>
    <w:rsid w:val="004519E3"/>
    <w:rsid w:val="004B106B"/>
    <w:rsid w:val="005101A9"/>
    <w:rsid w:val="00642696"/>
    <w:rsid w:val="00646012"/>
    <w:rsid w:val="006C4403"/>
    <w:rsid w:val="00712933"/>
    <w:rsid w:val="00780943"/>
    <w:rsid w:val="007B6CB0"/>
    <w:rsid w:val="007E10D6"/>
    <w:rsid w:val="0083719B"/>
    <w:rsid w:val="008838D9"/>
    <w:rsid w:val="00886AFE"/>
    <w:rsid w:val="0091379B"/>
    <w:rsid w:val="00964968"/>
    <w:rsid w:val="009A1997"/>
    <w:rsid w:val="009E0602"/>
    <w:rsid w:val="00A231FE"/>
    <w:rsid w:val="00A61F80"/>
    <w:rsid w:val="00AC1E6D"/>
    <w:rsid w:val="00AE01CD"/>
    <w:rsid w:val="00AF258E"/>
    <w:rsid w:val="00B72796"/>
    <w:rsid w:val="00B924E3"/>
    <w:rsid w:val="00BA3155"/>
    <w:rsid w:val="00BA3949"/>
    <w:rsid w:val="00BB7F51"/>
    <w:rsid w:val="00BE7CD4"/>
    <w:rsid w:val="00C00B30"/>
    <w:rsid w:val="00C52806"/>
    <w:rsid w:val="00D67896"/>
    <w:rsid w:val="00D76322"/>
    <w:rsid w:val="00DD5508"/>
    <w:rsid w:val="00E677E1"/>
    <w:rsid w:val="00E823FC"/>
    <w:rsid w:val="00ED1EF1"/>
    <w:rsid w:val="00F111E6"/>
    <w:rsid w:val="00F412AF"/>
    <w:rsid w:val="00FF223B"/>
    <w:rsid w:val="05A810A3"/>
    <w:rsid w:val="07E9355D"/>
    <w:rsid w:val="0EEA1DC9"/>
    <w:rsid w:val="14CA57D9"/>
    <w:rsid w:val="180B7F7F"/>
    <w:rsid w:val="1A2A043D"/>
    <w:rsid w:val="1ED65854"/>
    <w:rsid w:val="23F84C02"/>
    <w:rsid w:val="24164AFC"/>
    <w:rsid w:val="24AC5737"/>
    <w:rsid w:val="2B321937"/>
    <w:rsid w:val="31994BEB"/>
    <w:rsid w:val="3B880297"/>
    <w:rsid w:val="3D332057"/>
    <w:rsid w:val="3F0F62AB"/>
    <w:rsid w:val="40B10455"/>
    <w:rsid w:val="4D537EEC"/>
    <w:rsid w:val="4E7B3BDA"/>
    <w:rsid w:val="4F1C28D9"/>
    <w:rsid w:val="52B72CCB"/>
    <w:rsid w:val="54591061"/>
    <w:rsid w:val="54F1275C"/>
    <w:rsid w:val="5632430D"/>
    <w:rsid w:val="56983533"/>
    <w:rsid w:val="58F13BCB"/>
    <w:rsid w:val="5CE943C9"/>
    <w:rsid w:val="5EF3152F"/>
    <w:rsid w:val="60F9469E"/>
    <w:rsid w:val="667B46DD"/>
    <w:rsid w:val="685B6B1A"/>
    <w:rsid w:val="6BCE2590"/>
    <w:rsid w:val="6D741A8D"/>
    <w:rsid w:val="73111D05"/>
    <w:rsid w:val="79B23B36"/>
    <w:rsid w:val="7CEF70EB"/>
    <w:rsid w:val="7F5E672F"/>
    <w:rsid w:val="7FE4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22"/>
    <w:qFormat/>
    <w:uiPriority w:val="0"/>
    <w:pPr>
      <w:keepNext/>
      <w:keepLines/>
      <w:spacing w:before="340" w:after="330" w:line="576" w:lineRule="auto"/>
      <w:outlineLvl w:val="0"/>
    </w:pPr>
    <w:rPr>
      <w:rFonts w:eastAsia="仿宋"/>
      <w:b/>
      <w:kern w:val="44"/>
      <w:sz w:val="30"/>
    </w:rPr>
  </w:style>
  <w:style w:type="paragraph" w:styleId="5">
    <w:name w:val="heading 2"/>
    <w:basedOn w:val="1"/>
    <w:next w:val="1"/>
    <w:qFormat/>
    <w:uiPriority w:val="0"/>
    <w:pPr>
      <w:keepNext/>
      <w:keepLines/>
      <w:spacing w:line="360" w:lineRule="auto"/>
      <w:outlineLvl w:val="1"/>
    </w:pPr>
    <w:rPr>
      <w:rFonts w:ascii="Arial" w:hAnsi="Arial" w:eastAsia="仿宋"/>
      <w:b/>
      <w:bCs/>
      <w:sz w:val="24"/>
      <w:szCs w:val="32"/>
    </w:rPr>
  </w:style>
  <w:style w:type="character" w:default="1" w:styleId="16">
    <w:name w:val="Default Paragraph Font"/>
    <w:autoRedefine/>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99"/>
    <w:pPr>
      <w:spacing w:after="120"/>
      <w:ind w:left="420" w:leftChars="200" w:firstLine="420"/>
    </w:pPr>
    <w:rPr>
      <w:sz w:val="24"/>
    </w:rPr>
  </w:style>
  <w:style w:type="paragraph" w:styleId="3">
    <w:name w:val="Body Text Indent"/>
    <w:basedOn w:val="1"/>
    <w:autoRedefine/>
    <w:qFormat/>
    <w:uiPriority w:val="99"/>
    <w:pPr>
      <w:ind w:left="1080"/>
    </w:pPr>
  </w:style>
  <w:style w:type="paragraph" w:styleId="6">
    <w:name w:val="Normal Indent"/>
    <w:basedOn w:val="1"/>
    <w:autoRedefine/>
    <w:qFormat/>
    <w:uiPriority w:val="0"/>
    <w:pPr>
      <w:ind w:firstLine="420"/>
    </w:pPr>
  </w:style>
  <w:style w:type="paragraph" w:styleId="7">
    <w:name w:val="annotation text"/>
    <w:basedOn w:val="1"/>
    <w:link w:val="25"/>
    <w:autoRedefine/>
    <w:qFormat/>
    <w:uiPriority w:val="0"/>
    <w:pPr>
      <w:jc w:val="left"/>
    </w:pPr>
  </w:style>
  <w:style w:type="paragraph" w:styleId="8">
    <w:name w:val="Body Text"/>
    <w:basedOn w:val="1"/>
    <w:link w:val="23"/>
    <w:autoRedefine/>
    <w:qFormat/>
    <w:uiPriority w:val="0"/>
    <w:pPr>
      <w:spacing w:after="120"/>
    </w:pPr>
  </w:style>
  <w:style w:type="paragraph" w:styleId="9">
    <w:name w:val="Plain Text"/>
    <w:basedOn w:val="1"/>
    <w:autoRedefine/>
    <w:qFormat/>
    <w:uiPriority w:val="0"/>
    <w:rPr>
      <w:rFonts w:ascii="宋体" w:hAnsi="Courier New" w:cs="Courier New"/>
      <w:szCs w:val="21"/>
    </w:rPr>
  </w:style>
  <w:style w:type="paragraph" w:styleId="10">
    <w:name w:val="footer"/>
    <w:basedOn w:val="1"/>
    <w:autoRedefine/>
    <w:qFormat/>
    <w:uiPriority w:val="99"/>
    <w:pPr>
      <w:tabs>
        <w:tab w:val="center" w:pos="4153"/>
        <w:tab w:val="right" w:pos="8306"/>
      </w:tabs>
      <w:snapToGrid w:val="0"/>
      <w:jc w:val="left"/>
    </w:pPr>
    <w:rPr>
      <w:kern w:val="0"/>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autoRedefine/>
    <w:qFormat/>
    <w:uiPriority w:val="0"/>
    <w:pPr>
      <w:widowControl/>
      <w:spacing w:before="100" w:beforeAutospacing="1" w:after="100" w:afterAutospacing="1"/>
      <w:jc w:val="left"/>
    </w:pPr>
    <w:rPr>
      <w:rFonts w:ascii="宋体" w:hAnsi="宋体"/>
      <w:color w:val="000000"/>
      <w:kern w:val="0"/>
      <w:sz w:val="24"/>
      <w:szCs w:val="24"/>
    </w:rPr>
  </w:style>
  <w:style w:type="paragraph" w:styleId="13">
    <w:name w:val="annotation subject"/>
    <w:basedOn w:val="7"/>
    <w:next w:val="7"/>
    <w:link w:val="26"/>
    <w:autoRedefine/>
    <w:qFormat/>
    <w:uiPriority w:val="0"/>
    <w:rPr>
      <w:b/>
      <w:bCs/>
    </w:rPr>
  </w:style>
  <w:style w:type="table" w:styleId="15">
    <w:name w:val="Table Grid"/>
    <w:basedOn w:val="14"/>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autoRedefine/>
    <w:qFormat/>
    <w:uiPriority w:val="99"/>
    <w:rPr>
      <w:rFonts w:cs="Times New Roman"/>
    </w:rPr>
  </w:style>
  <w:style w:type="character" w:styleId="18">
    <w:name w:val="annotation reference"/>
    <w:basedOn w:val="16"/>
    <w:autoRedefine/>
    <w:qFormat/>
    <w:uiPriority w:val="0"/>
    <w:rPr>
      <w:sz w:val="21"/>
      <w:szCs w:val="21"/>
    </w:rPr>
  </w:style>
  <w:style w:type="paragraph" w:customStyle="1" w:styleId="19">
    <w:name w:val="首行缩进"/>
    <w:basedOn w:val="1"/>
    <w:autoRedefine/>
    <w:qFormat/>
    <w:uiPriority w:val="0"/>
    <w:pPr>
      <w:spacing w:line="360" w:lineRule="auto"/>
      <w:ind w:firstLine="480" w:firstLineChars="200"/>
    </w:pPr>
    <w:rPr>
      <w:sz w:val="24"/>
      <w:lang w:val="zh-CN"/>
    </w:rPr>
  </w:style>
  <w:style w:type="paragraph" w:customStyle="1" w:styleId="20">
    <w:name w:val="Normal_0"/>
    <w:autoRedefine/>
    <w:qFormat/>
    <w:uiPriority w:val="0"/>
    <w:rPr>
      <w:rFonts w:ascii="Calibri" w:hAnsi="Calibri" w:eastAsia="宋体" w:cs="Times New Roman"/>
      <w:sz w:val="24"/>
      <w:szCs w:val="24"/>
      <w:lang w:val="en-US" w:eastAsia="zh-CN" w:bidi="ar-SA"/>
    </w:rPr>
  </w:style>
  <w:style w:type="paragraph" w:customStyle="1" w:styleId="21">
    <w:name w:val="Normal_1"/>
    <w:autoRedefine/>
    <w:qFormat/>
    <w:uiPriority w:val="0"/>
    <w:rPr>
      <w:rFonts w:ascii="Calibri" w:hAnsi="Calibri" w:eastAsia="宋体" w:cs="Times New Roman"/>
      <w:sz w:val="24"/>
      <w:szCs w:val="24"/>
      <w:lang w:val="en-US" w:eastAsia="zh-CN" w:bidi="ar-SA"/>
    </w:rPr>
  </w:style>
  <w:style w:type="character" w:customStyle="1" w:styleId="22">
    <w:name w:val="标题 1 字符"/>
    <w:link w:val="4"/>
    <w:autoRedefine/>
    <w:qFormat/>
    <w:uiPriority w:val="0"/>
    <w:rPr>
      <w:rFonts w:eastAsia="仿宋"/>
      <w:b/>
      <w:kern w:val="44"/>
      <w:sz w:val="30"/>
    </w:rPr>
  </w:style>
  <w:style w:type="character" w:customStyle="1" w:styleId="23">
    <w:name w:val="正文文本 字符"/>
    <w:basedOn w:val="16"/>
    <w:link w:val="8"/>
    <w:autoRedefine/>
    <w:qFormat/>
    <w:uiPriority w:val="0"/>
    <w:rPr>
      <w:rFonts w:ascii="Calibri" w:hAnsi="Calibri" w:eastAsia="宋体" w:cs="Times New Roman"/>
      <w:kern w:val="2"/>
      <w:sz w:val="21"/>
      <w:szCs w:val="22"/>
    </w:rPr>
  </w:style>
  <w:style w:type="paragraph" w:customStyle="1" w:styleId="24">
    <w:name w:val="Table Paragraph"/>
    <w:basedOn w:val="1"/>
    <w:autoRedefine/>
    <w:qFormat/>
    <w:uiPriority w:val="1"/>
    <w:pPr>
      <w:autoSpaceDE w:val="0"/>
      <w:autoSpaceDN w:val="0"/>
    </w:pPr>
    <w:rPr>
      <w:rFonts w:ascii="宋体" w:hAnsi="宋体" w:cs="宋体"/>
      <w:szCs w:val="24"/>
      <w:lang w:val="zh-CN"/>
    </w:rPr>
  </w:style>
  <w:style w:type="character" w:customStyle="1" w:styleId="25">
    <w:name w:val="批注文字 字符"/>
    <w:basedOn w:val="16"/>
    <w:link w:val="7"/>
    <w:autoRedefine/>
    <w:qFormat/>
    <w:uiPriority w:val="0"/>
    <w:rPr>
      <w:rFonts w:ascii="Calibri" w:hAnsi="Calibri" w:eastAsia="宋体" w:cs="Times New Roman"/>
      <w:kern w:val="2"/>
      <w:sz w:val="21"/>
      <w:szCs w:val="22"/>
    </w:rPr>
  </w:style>
  <w:style w:type="character" w:customStyle="1" w:styleId="26">
    <w:name w:val="批注主题 字符"/>
    <w:basedOn w:val="25"/>
    <w:link w:val="13"/>
    <w:autoRedefine/>
    <w:qFormat/>
    <w:uiPriority w:val="0"/>
    <w:rPr>
      <w:rFonts w:ascii="Calibri" w:hAnsi="Calibri" w:eastAsia="宋体" w:cs="Times New Roman"/>
      <w:b/>
      <w:bCs/>
      <w:kern w:val="2"/>
      <w:sz w:val="21"/>
      <w:szCs w:val="22"/>
    </w:rPr>
  </w:style>
  <w:style w:type="paragraph" w:styleId="27">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2511</Words>
  <Characters>14318</Characters>
  <Lines>119</Lines>
  <Paragraphs>33</Paragraphs>
  <TotalTime>100</TotalTime>
  <ScaleCrop>false</ScaleCrop>
  <LinksUpToDate>false</LinksUpToDate>
  <CharactersWithSpaces>16796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2024-01-04T06:13:00Z</dcterms:created>
  <dc:creator>Administrator</dc:creator>
  <cp:lastModifiedBy>Eagle~217</cp:lastModifiedBy>
  <cp:lastPrinted>2022-09-08T01:45:00Z</cp:lastPrinted>
  <dcterms:modified xsi:type="dcterms:W3CDTF">2024-01-04T10:46:27Z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3EA38790376144F48FD0BBBA92549DA8_13</vt:lpwstr>
  </property>
</Properties>
</file>