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职教城香樟校区学生宿舍智能门锁采购</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2.项目编号：NZD24032801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w:t>
      </w:r>
      <w:r>
        <w:rPr>
          <w:rFonts w:hint="eastAsia" w:ascii="仿宋" w:hAnsi="仿宋" w:eastAsia="仿宋" w:cs="仿宋"/>
          <w:kern w:val="0"/>
          <w:sz w:val="32"/>
          <w:szCs w:val="32"/>
          <w:lang w:val="en-US" w:eastAsia="zh-CN"/>
        </w:rPr>
        <w:t>职教城香樟</w:t>
      </w:r>
      <w:r>
        <w:rPr>
          <w:rFonts w:hint="eastAsia" w:ascii="仿宋" w:hAnsi="仿宋" w:eastAsia="仿宋" w:cs="仿宋"/>
          <w:kern w:val="0"/>
          <w:sz w:val="32"/>
          <w:szCs w:val="32"/>
        </w:rPr>
        <w:t>校</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rPr>
        <w:t>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hint="default" w:ascii="仿宋" w:hAnsi="仿宋" w:eastAsia="仿宋" w:cs="仿宋"/>
          <w:b/>
          <w:bCs/>
          <w:color w:val="FF0000"/>
          <w:kern w:val="0"/>
          <w:sz w:val="32"/>
          <w:szCs w:val="32"/>
          <w:lang w:val="en-US" w:eastAsia="zh-CN"/>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付款方式。</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hint="eastAsia" w:ascii="仿宋" w:hAnsi="仿宋" w:eastAsia="仿宋" w:cs="仿宋"/>
          <w:sz w:val="32"/>
          <w:szCs w:val="32"/>
        </w:rPr>
      </w:pP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付款方式：</w:t>
      </w:r>
      <w:r>
        <w:rPr>
          <w:rFonts w:hint="eastAsia" w:ascii="仿宋" w:hAnsi="仿宋" w:eastAsia="仿宋" w:cs="仿宋"/>
          <w:sz w:val="32"/>
          <w:szCs w:val="32"/>
        </w:rPr>
        <w:t>安装完成后支付70%，验收合格后支付20%，质保期一年验收合格后支付10%。</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w:t>
      </w:r>
      <w:r>
        <w:rPr>
          <w:rFonts w:hint="eastAsia" w:ascii="黑体" w:hAnsi="黑体" w:eastAsia="黑体" w:cs="黑体"/>
          <w:bCs/>
          <w:kern w:val="0"/>
          <w:sz w:val="32"/>
          <w:szCs w:val="32"/>
          <w:lang w:val="en-US" w:eastAsia="zh-CN"/>
        </w:rPr>
        <w:t>质保</w:t>
      </w:r>
      <w:r>
        <w:rPr>
          <w:rFonts w:hint="eastAsia" w:ascii="黑体" w:hAnsi="黑体" w:eastAsia="黑体" w:cs="黑体"/>
          <w:bCs/>
          <w:kern w:val="0"/>
          <w:sz w:val="32"/>
          <w:szCs w:val="32"/>
        </w:rPr>
        <w:t>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w:t>
      </w:r>
      <w:r>
        <w:rPr>
          <w:rFonts w:hint="eastAsia" w:ascii="仿宋" w:hAnsi="仿宋" w:eastAsia="仿宋" w:cs="仿宋"/>
          <w:sz w:val="32"/>
          <w:szCs w:val="32"/>
          <w:lang w:val="en-US" w:eastAsia="zh-CN"/>
        </w:rPr>
        <w:t>贰</w:t>
      </w:r>
      <w:r>
        <w:rPr>
          <w:rFonts w:hint="eastAsia" w:ascii="仿宋" w:hAnsi="仿宋" w:eastAsia="仿宋" w:cs="仿宋"/>
          <w:sz w:val="32"/>
          <w:szCs w:val="32"/>
        </w:rPr>
        <w:t>年。2小时内服务响应，24小时内上门服务。</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lang w:val="en-US" w:eastAsia="zh-CN"/>
        </w:rPr>
        <w:t>八</w:t>
      </w:r>
      <w:r>
        <w:rPr>
          <w:rFonts w:hint="eastAsia" w:ascii="黑体" w:hAnsi="黑体" w:eastAsia="黑体" w:cs="黑体"/>
          <w:bCs/>
          <w:kern w:val="0"/>
          <w:sz w:val="32"/>
          <w:szCs w:val="32"/>
        </w:rPr>
        <w:t>、开标时间及开标方式：</w:t>
      </w:r>
    </w:p>
    <w:p>
      <w:pPr>
        <w:spacing w:line="480" w:lineRule="exact"/>
        <w:ind w:firstLine="640" w:firstLineChars="200"/>
        <w:jc w:val="left"/>
        <w:textAlignment w:val="center"/>
        <w:rPr>
          <w:rFonts w:hint="eastAsia"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hint="default" w:ascii="仿宋" w:hAnsi="仿宋" w:eastAsia="仿宋" w:cs="仿宋"/>
          <w:spacing w:val="-4"/>
          <w:kern w:val="0"/>
          <w:sz w:val="32"/>
          <w:szCs w:val="32"/>
          <w:lang w:val="en-US" w:eastAsia="zh-CN"/>
        </w:rPr>
      </w:pPr>
      <w:r>
        <w:rPr>
          <w:rFonts w:hint="eastAsia" w:ascii="仿宋" w:hAnsi="仿宋" w:eastAsia="仿宋" w:cs="仿宋"/>
          <w:spacing w:val="-4"/>
          <w:kern w:val="0"/>
          <w:sz w:val="32"/>
          <w:szCs w:val="32"/>
          <w:lang w:val="en-US" w:eastAsia="zh-CN"/>
        </w:rPr>
        <w:t>2.开标时间：2024年4月2日上午10：00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lang w:val="en-US" w:eastAsia="zh-CN"/>
        </w:rPr>
        <w:t>九</w:t>
      </w:r>
      <w:r>
        <w:rPr>
          <w:rFonts w:hint="eastAsia" w:ascii="黑体" w:hAnsi="黑体" w:eastAsia="黑体" w:cs="黑体"/>
          <w:bCs/>
          <w:kern w:val="0"/>
          <w:sz w:val="32"/>
          <w:szCs w:val="32"/>
        </w:rPr>
        <w:t>、甲方建设项目要求（详见附件清单）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hint="eastAsia" w:ascii="仿宋" w:hAnsi="仿宋" w:eastAsia="仿宋" w:cs="仿宋"/>
          <w:sz w:val="32"/>
          <w:szCs w:val="32"/>
          <w:lang w:val="en-US" w:eastAsia="zh-CN"/>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spacing w:line="480" w:lineRule="exact"/>
        <w:ind w:firstLine="643" w:firstLineChars="200"/>
        <w:textAlignment w:val="center"/>
        <w:rPr>
          <w:rFonts w:hint="eastAsia" w:ascii="仿宋" w:hAnsi="仿宋" w:eastAsia="仿宋" w:cs="仿宋"/>
          <w:b/>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杨工13807066262</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勘察现场联系人：李工18779895300</w:t>
      </w:r>
    </w:p>
    <w:p>
      <w:pPr>
        <w:rPr>
          <w:rFonts w:hint="eastAsia" w:ascii="黑体" w:hAnsi="黑体" w:eastAsia="黑体" w:cs="黑体"/>
          <w:bCs/>
          <w:sz w:val="32"/>
          <w:szCs w:val="32"/>
        </w:rPr>
      </w:pPr>
      <w:bookmarkStart w:id="0" w:name="_GoBack"/>
      <w:bookmarkEnd w:id="0"/>
    </w:p>
    <w:p>
      <w:pPr>
        <w:rPr>
          <w:rFonts w:hint="eastAsia" w:ascii="黑体" w:hAnsi="黑体" w:eastAsia="黑体" w:cs="黑体"/>
          <w:bCs/>
          <w:sz w:val="32"/>
          <w:szCs w:val="32"/>
        </w:rPr>
      </w:pPr>
      <w:r>
        <w:rPr>
          <w:rFonts w:hint="eastAsia" w:ascii="黑体" w:hAnsi="黑体" w:eastAsia="黑体" w:cs="黑体"/>
          <w:bCs/>
          <w:sz w:val="32"/>
          <w:szCs w:val="32"/>
        </w:rPr>
        <w:t>附件一:</w:t>
      </w:r>
    </w:p>
    <w:p>
      <w:pPr>
        <w:rPr>
          <w:rFonts w:hint="eastAsia" w:ascii="黑体" w:hAnsi="黑体" w:eastAsia="黑体" w:cs="黑体"/>
          <w:bCs/>
          <w:sz w:val="32"/>
          <w:szCs w:val="32"/>
        </w:rPr>
      </w:pPr>
      <w:r>
        <w:rPr>
          <w:rFonts w:hint="eastAsia" w:ascii="黑体" w:hAnsi="黑体" w:eastAsia="黑体" w:cs="黑体"/>
          <w:bCs/>
          <w:sz w:val="32"/>
          <w:szCs w:val="32"/>
        </w:rPr>
        <w:object>
          <v:shape id="_x0000_i1025" o:spt="75" type="#_x0000_t75" style="height:245.1pt;width:442.1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宿舍智能门锁管理系统 </w: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1、 系统概述 </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南昌职业大学香樟校区共有标间宿舍 1390 间，设置 1 套宿舍智能门锁管理系统，系统可与校园一卡通系统实现数据对接，实现学生使用校园一卡通系统。支持手机蓝牙开锁；支持密码开锁；批量密码设置，首次使用提示更改密码。</w: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 系统技术要求</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通过智能门锁系统对学生宿舍内部进行管理，实现智能开门的方式。每间学生宿舍设置在线式门禁管理系统，实现门禁刷卡和钥匙统一管理。</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通过人员信息管理超级管理员可将宿舍管理员分配与其身份相对应的管理权限，并将每位管理员授权其所辖区域。授权完成后，各个宿舍管理员可根据学生信息将为其授权其所对应宿舍门的开门权限。</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设备管理主要包括设备信息管理、设备监控和卡管理等。</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设备维护对应用、端口、基站、门锁设备进行创建、修改和删除，以及绑定房间与门锁的对应关系，一次性设置，后期只需要根据设备具体情况维护即可。</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设备监控设备监控是对设备的工作状态，房间的信息，刷卡记录进行实时监控。同时支持图形形式和列表形式监控门锁设备。</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卡管理主要包括部门维护、人员维护（包含人员的发卡，补卡、换卡，挂失，解挂功能）、授权管理（将人员授权到指定的门锁设备）、功能卡管理（包含功能卡的制卡，挂失，解挂功能）。</w:t>
      </w: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包含房间管理（添加区域、楼栋、楼层、房间），房间状态设置，房间命名规则的设置功能房间管理对区域、楼栋、楼层、房间信息的维护。</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房态设置用于设置房间状态的基本信息，包括房间的状态名称，表示颜色。数据初始化时会初始以下几种状态：空房、脏房、满房、自用、维修、在住，这几种状态不能删除，且房间状态名称不能更改。</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房间命名规则用于设置房间名的生成规则。</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手机客户端管理:用户通过手机客户端，实现手机对用户所具有权限的区域进行开门操作。</w:t>
      </w:r>
    </w:p>
    <w:p>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生报道期间，系统直接对各个新生所在寝室的门锁一键授权。老生离校时，系统可对离校老生的开门权限进行一键回收。减少宿舍管理员冗杂的工作量和出错几率。同时，在每栋学生宿舍一层入口处设置人脸识别系统，所有进出宿舍人员需人脸识别进出，对学生归寝情况进行统计和分析。同时实现与视频监控联动，当有学生进来时与监控联动启动截图功能，在宿舍门口的液晶显示屏上显示出刷卡人员的信息、所在院系、班级等情况。</w:t>
      </w:r>
    </w:p>
    <w:p>
      <w:pPr>
        <w:jc w:val="left"/>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CAD图纸：学生宿舍1、2、3、4#楼建筑平面图</w:t>
      </w:r>
    </w:p>
    <w:p>
      <w:pPr>
        <w:rPr>
          <w:rFonts w:hint="eastAsia" w:ascii="黑体" w:hAnsi="黑体" w:eastAsia="黑体" w:cs="黑体"/>
          <w:b/>
          <w:bCs w:val="0"/>
          <w:sz w:val="32"/>
          <w:szCs w:val="32"/>
          <w:lang w:eastAsia="zh-CN"/>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zBmNjliZWQ1MTYxMzZiZDNiYWNiMjkzZmUzNTg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4F1898"/>
    <w:rsid w:val="01F51DB7"/>
    <w:rsid w:val="02656B18"/>
    <w:rsid w:val="051C6A47"/>
    <w:rsid w:val="09A90B64"/>
    <w:rsid w:val="0A64489B"/>
    <w:rsid w:val="0A726BCF"/>
    <w:rsid w:val="0CF9641D"/>
    <w:rsid w:val="122B0545"/>
    <w:rsid w:val="12E017EF"/>
    <w:rsid w:val="154E322A"/>
    <w:rsid w:val="15966B4B"/>
    <w:rsid w:val="188D1AD1"/>
    <w:rsid w:val="19351C0F"/>
    <w:rsid w:val="1CA13D9D"/>
    <w:rsid w:val="1EBC0978"/>
    <w:rsid w:val="1F094816"/>
    <w:rsid w:val="203B2505"/>
    <w:rsid w:val="22DD3655"/>
    <w:rsid w:val="251A51C7"/>
    <w:rsid w:val="2580651A"/>
    <w:rsid w:val="28E279B2"/>
    <w:rsid w:val="292B4831"/>
    <w:rsid w:val="30DE1913"/>
    <w:rsid w:val="32821B23"/>
    <w:rsid w:val="329E091A"/>
    <w:rsid w:val="32CF6EB6"/>
    <w:rsid w:val="37E262F1"/>
    <w:rsid w:val="38471FCE"/>
    <w:rsid w:val="397D29BD"/>
    <w:rsid w:val="3CB37D2A"/>
    <w:rsid w:val="3E9D5F46"/>
    <w:rsid w:val="4157234B"/>
    <w:rsid w:val="41D23F52"/>
    <w:rsid w:val="43272D44"/>
    <w:rsid w:val="435A7A2D"/>
    <w:rsid w:val="44CE5151"/>
    <w:rsid w:val="45AF05D2"/>
    <w:rsid w:val="461E5F97"/>
    <w:rsid w:val="46A87B6E"/>
    <w:rsid w:val="473A5A66"/>
    <w:rsid w:val="47433A8B"/>
    <w:rsid w:val="47E74CD5"/>
    <w:rsid w:val="4A2C26A6"/>
    <w:rsid w:val="4B3379EF"/>
    <w:rsid w:val="4B733DFC"/>
    <w:rsid w:val="4BA821A3"/>
    <w:rsid w:val="4C12521A"/>
    <w:rsid w:val="4D257B59"/>
    <w:rsid w:val="500959B2"/>
    <w:rsid w:val="51656440"/>
    <w:rsid w:val="516873FD"/>
    <w:rsid w:val="519F2263"/>
    <w:rsid w:val="52252C49"/>
    <w:rsid w:val="54AC77F1"/>
    <w:rsid w:val="55436D76"/>
    <w:rsid w:val="558F695C"/>
    <w:rsid w:val="56773E73"/>
    <w:rsid w:val="56BB667D"/>
    <w:rsid w:val="56C37942"/>
    <w:rsid w:val="583D6B43"/>
    <w:rsid w:val="593237D0"/>
    <w:rsid w:val="59495FC4"/>
    <w:rsid w:val="599505F2"/>
    <w:rsid w:val="59D70DF6"/>
    <w:rsid w:val="5A925B36"/>
    <w:rsid w:val="5CFF237D"/>
    <w:rsid w:val="5F341FE6"/>
    <w:rsid w:val="5FB40CBE"/>
    <w:rsid w:val="60737941"/>
    <w:rsid w:val="626764BC"/>
    <w:rsid w:val="636522D0"/>
    <w:rsid w:val="64CC719D"/>
    <w:rsid w:val="666F48AC"/>
    <w:rsid w:val="68DF7FD2"/>
    <w:rsid w:val="6A390B6F"/>
    <w:rsid w:val="6ACC3DA2"/>
    <w:rsid w:val="6C086D03"/>
    <w:rsid w:val="6CEB3CD6"/>
    <w:rsid w:val="6DD84013"/>
    <w:rsid w:val="703F0A84"/>
    <w:rsid w:val="70D34D1C"/>
    <w:rsid w:val="71B73CF3"/>
    <w:rsid w:val="71D16D4A"/>
    <w:rsid w:val="72316A9A"/>
    <w:rsid w:val="749C1F38"/>
    <w:rsid w:val="76FB771C"/>
    <w:rsid w:val="788F1E71"/>
    <w:rsid w:val="78C21C74"/>
    <w:rsid w:val="7B634579"/>
    <w:rsid w:val="7C4314D9"/>
    <w:rsid w:val="7DEB6278"/>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autoRedefine/>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default" w:ascii="Times New Roman" w:hAnsi="Times New Roman" w:cs="Times New Roman"/>
      <w:color w:val="000000"/>
      <w:sz w:val="20"/>
      <w:szCs w:val="20"/>
      <w:u w:val="none"/>
    </w:rPr>
  </w:style>
  <w:style w:type="character" w:customStyle="1" w:styleId="11">
    <w:name w:val="font21"/>
    <w:basedOn w:val="9"/>
    <w:autoRedefine/>
    <w:qFormat/>
    <w:uiPriority w:val="0"/>
    <w:rPr>
      <w:rFonts w:hint="eastAsia" w:ascii="宋体" w:hAnsi="宋体" w:eastAsia="宋体" w:cs="宋体"/>
      <w:color w:val="000000"/>
      <w:sz w:val="20"/>
      <w:szCs w:val="20"/>
      <w:u w:val="none"/>
    </w:rPr>
  </w:style>
  <w:style w:type="paragraph" w:styleId="12">
    <w:name w:val="List Paragraph"/>
    <w:basedOn w:val="1"/>
    <w:autoRedefine/>
    <w:qFormat/>
    <w:uiPriority w:val="99"/>
    <w:pPr>
      <w:ind w:firstLine="420" w:firstLineChars="200"/>
    </w:pPr>
  </w:style>
  <w:style w:type="character" w:customStyle="1" w:styleId="13">
    <w:name w:val="font41"/>
    <w:basedOn w:val="9"/>
    <w:autoRedefine/>
    <w:qFormat/>
    <w:uiPriority w:val="0"/>
    <w:rPr>
      <w:rFonts w:hint="default" w:ascii="Times New Roman" w:hAnsi="Times New Roman" w:cs="Times New Roman"/>
      <w:color w:val="000000"/>
      <w:sz w:val="28"/>
      <w:szCs w:val="28"/>
      <w:u w:val="none"/>
    </w:rPr>
  </w:style>
  <w:style w:type="character" w:customStyle="1" w:styleId="14">
    <w:name w:val="font11"/>
    <w:basedOn w:val="9"/>
    <w:autoRedefine/>
    <w:qFormat/>
    <w:uiPriority w:val="0"/>
    <w:rPr>
      <w:rFonts w:hint="default" w:ascii="仿宋_GB2312" w:eastAsia="仿宋_GB2312" w:cs="仿宋_GB2312"/>
      <w:color w:val="000000"/>
      <w:sz w:val="28"/>
      <w:szCs w:val="28"/>
      <w:u w:val="none"/>
    </w:rPr>
  </w:style>
  <w:style w:type="character" w:customStyle="1" w:styleId="15">
    <w:name w:val="font71"/>
    <w:basedOn w:val="9"/>
    <w:autoRedefine/>
    <w:qFormat/>
    <w:uiPriority w:val="0"/>
    <w:rPr>
      <w:rFonts w:hint="default" w:ascii="Times New Roman" w:hAnsi="Times New Roman" w:cs="Times New Roman"/>
      <w:color w:val="000000"/>
      <w:sz w:val="26"/>
      <w:szCs w:val="26"/>
      <w:u w:val="none"/>
    </w:rPr>
  </w:style>
  <w:style w:type="paragraph" w:customStyle="1" w:styleId="16">
    <w:name w:val="Table Paragraph"/>
    <w:basedOn w:val="1"/>
    <w:autoRedefine/>
    <w:semiHidden/>
    <w:qFormat/>
    <w:uiPriority w:val="0"/>
    <w:rPr>
      <w:rFonts w:ascii="Calibri" w:hAnsi="Calibri" w:eastAsia="宋体" w:cs="Times New Roman"/>
      <w:sz w:val="24"/>
    </w:rPr>
  </w:style>
  <w:style w:type="character" w:customStyle="1" w:styleId="17">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8">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1241</Words>
  <Characters>1286</Characters>
  <Lines>9</Lines>
  <Paragraphs>2</Paragraphs>
  <TotalTime>124</TotalTime>
  <ScaleCrop>false</ScaleCrop>
  <LinksUpToDate>false</LinksUpToDate>
  <CharactersWithSpaces>1297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蛋蛋君</cp:lastModifiedBy>
  <dcterms:modified xsi:type="dcterms:W3CDTF">2024-03-28T12:52:21Z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3CBB330BA39E4B3EB0D0B63D839832F8_13</vt:lpwstr>
  </property>
</Properties>
</file>